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"/>
        <w:tblW w:w="10042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6" w:space="0" w:color="F2F2F2"/>
          <w:insideV w:val="single" w:sz="6" w:space="0" w:color="F2F2F2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94"/>
        <w:gridCol w:w="3048"/>
      </w:tblGrid>
      <w:tr w:rsidR="001A4A22" w:rsidRPr="003E7FE6" w:rsidTr="00A761DE">
        <w:trPr>
          <w:trHeight w:val="1496"/>
        </w:trPr>
        <w:tc>
          <w:tcPr>
            <w:tcW w:w="6994" w:type="dxa"/>
            <w:shd w:val="clear" w:color="auto" w:fill="auto"/>
            <w:vAlign w:val="center"/>
          </w:tcPr>
          <w:p w:rsidR="001A4A22" w:rsidRPr="003E7FE6" w:rsidRDefault="001A4A22" w:rsidP="00A761DE">
            <w:pPr>
              <w:widowControl w:val="0"/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0" w:line="20" w:lineRule="atLeast"/>
              <w:ind w:left="-57"/>
              <w:textAlignment w:val="center"/>
              <w:rPr>
                <w:rFonts w:ascii="Verdana" w:eastAsia="Cambria" w:hAnsi="Verdana" w:cs="Times-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E7FE6">
              <w:rPr>
                <w:rFonts w:ascii="Verdana" w:eastAsia="Cambria" w:hAnsi="Verdana" w:cs="Times-Roman"/>
                <w:b/>
                <w:color w:val="000000"/>
                <w:sz w:val="32"/>
                <w:szCs w:val="32"/>
              </w:rPr>
              <w:t>Oxford Diocesan Schools Trust</w:t>
            </w:r>
          </w:p>
          <w:p w:rsidR="001A4A22" w:rsidRPr="003E7FE6" w:rsidRDefault="001A4A22" w:rsidP="00A761DE">
            <w:pPr>
              <w:widowControl w:val="0"/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after="0" w:line="20" w:lineRule="atLeast"/>
              <w:textAlignment w:val="center"/>
              <w:rPr>
                <w:rFonts w:ascii="Verdana" w:eastAsia="Cambria" w:hAnsi="Verdana" w:cs="Times-Roman"/>
                <w:color w:val="000000"/>
                <w:sz w:val="24"/>
                <w:szCs w:val="24"/>
              </w:rPr>
            </w:pPr>
            <w:r w:rsidRPr="003E7FE6">
              <w:rPr>
                <w:rFonts w:ascii="Verdana" w:eastAsia="Cambria" w:hAnsi="Verdana" w:cs="Times-Roman"/>
                <w:color w:val="000000"/>
                <w:sz w:val="24"/>
                <w:szCs w:val="24"/>
              </w:rPr>
              <w:t>School Effectiveness Service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1A4A22" w:rsidRPr="003E7FE6" w:rsidRDefault="001A4A22" w:rsidP="00A761DE">
            <w:pPr>
              <w:spacing w:after="0" w:line="240" w:lineRule="auto"/>
              <w:rPr>
                <w:rFonts w:ascii="Arial" w:eastAsia="Times New Roman" w:hAnsi="Arial" w:cs="Arial"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B53A02F" wp14:editId="4234F1A8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26035</wp:posOffset>
                  </wp:positionV>
                  <wp:extent cx="1905000" cy="9734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4A22" w:rsidRPr="003E7FE6" w:rsidTr="00A761DE">
        <w:trPr>
          <w:trHeight w:val="200"/>
        </w:trPr>
        <w:tc>
          <w:tcPr>
            <w:tcW w:w="10042" w:type="dxa"/>
            <w:gridSpan w:val="2"/>
            <w:shd w:val="clear" w:color="auto" w:fill="auto"/>
            <w:vAlign w:val="center"/>
          </w:tcPr>
          <w:p w:rsidR="001A4A22" w:rsidRPr="003E7FE6" w:rsidRDefault="001A4A22" w:rsidP="00A761DE">
            <w:pPr>
              <w:spacing w:after="0" w:line="240" w:lineRule="auto"/>
              <w:jc w:val="center"/>
              <w:rPr>
                <w:rFonts w:eastAsia="Times New Roman" w:cs="Arial"/>
                <w:noProof/>
                <w:spacing w:val="10"/>
              </w:rPr>
            </w:pPr>
            <w:r w:rsidRPr="008437EB">
              <w:rPr>
                <w:rFonts w:ascii="Calibri" w:hAnsi="Calibri" w:cs="Arial"/>
                <w:noProof/>
                <w:spacing w:val="10"/>
              </w:rPr>
              <w:t>Church House</w:t>
            </w:r>
            <w:r>
              <w:rPr>
                <w:rFonts w:ascii="Calibri" w:hAnsi="Calibri" w:cs="Arial"/>
                <w:noProof/>
                <w:spacing w:val="10"/>
              </w:rPr>
              <w:t xml:space="preserve"> Oxford</w:t>
            </w:r>
            <w:r w:rsidRPr="008437EB">
              <w:rPr>
                <w:rFonts w:ascii="Calibri" w:hAnsi="Calibri" w:cs="Arial"/>
                <w:noProof/>
                <w:spacing w:val="10"/>
              </w:rPr>
              <w:t xml:space="preserve"> </w:t>
            </w:r>
            <w:r w:rsidRPr="008437EB">
              <w:rPr>
                <w:rFonts w:ascii="Calibri" w:hAnsi="Calibri" w:cs="Arial"/>
                <w:noProof/>
                <w:spacing w:val="10"/>
              </w:rPr>
              <w:sym w:font="Wingdings 2" w:char="F096"/>
            </w:r>
            <w:r w:rsidRPr="008437EB">
              <w:rPr>
                <w:rFonts w:ascii="Calibri" w:hAnsi="Calibri" w:cs="Arial"/>
                <w:noProof/>
                <w:spacing w:val="10"/>
              </w:rPr>
              <w:t xml:space="preserve"> </w:t>
            </w:r>
            <w:r>
              <w:rPr>
                <w:rFonts w:ascii="Calibri" w:hAnsi="Calibri" w:cs="Arial"/>
                <w:noProof/>
                <w:spacing w:val="10"/>
              </w:rPr>
              <w:t>Langford Locks</w:t>
            </w:r>
            <w:r w:rsidRPr="008437EB">
              <w:rPr>
                <w:rFonts w:ascii="Calibri" w:hAnsi="Calibri" w:cs="Arial"/>
                <w:noProof/>
                <w:spacing w:val="10"/>
              </w:rPr>
              <w:sym w:font="Wingdings 2" w:char="F096"/>
            </w:r>
            <w:r w:rsidRPr="008437EB">
              <w:rPr>
                <w:rFonts w:ascii="Calibri" w:hAnsi="Calibri" w:cs="Arial"/>
                <w:noProof/>
                <w:spacing w:val="10"/>
              </w:rPr>
              <w:t xml:space="preserve"> </w:t>
            </w:r>
            <w:r>
              <w:rPr>
                <w:rFonts w:ascii="Calibri" w:hAnsi="Calibri" w:cs="Arial"/>
                <w:noProof/>
                <w:spacing w:val="10"/>
              </w:rPr>
              <w:t xml:space="preserve">Kidlington </w:t>
            </w:r>
            <w:r w:rsidRPr="008437EB">
              <w:rPr>
                <w:rFonts w:ascii="Calibri" w:hAnsi="Calibri" w:cs="Arial"/>
                <w:noProof/>
                <w:spacing w:val="10"/>
              </w:rPr>
              <w:sym w:font="Wingdings 2" w:char="F096"/>
            </w:r>
            <w:r>
              <w:rPr>
                <w:rFonts w:ascii="Calibri" w:hAnsi="Calibri" w:cs="Arial"/>
                <w:noProof/>
                <w:spacing w:val="10"/>
              </w:rPr>
              <w:t xml:space="preserve"> </w:t>
            </w:r>
            <w:r w:rsidRPr="008437EB">
              <w:rPr>
                <w:rFonts w:ascii="Calibri" w:hAnsi="Calibri" w:cs="Arial"/>
                <w:noProof/>
                <w:spacing w:val="10"/>
              </w:rPr>
              <w:t xml:space="preserve">Oxford </w:t>
            </w:r>
            <w:r w:rsidRPr="008437EB">
              <w:rPr>
                <w:rFonts w:ascii="Calibri" w:hAnsi="Calibri" w:cs="Arial"/>
                <w:noProof/>
                <w:spacing w:val="10"/>
              </w:rPr>
              <w:sym w:font="Wingdings 2" w:char="F096"/>
            </w:r>
            <w:r>
              <w:rPr>
                <w:rFonts w:ascii="Calibri" w:hAnsi="Calibri" w:cs="Arial"/>
                <w:noProof/>
                <w:spacing w:val="10"/>
              </w:rPr>
              <w:t xml:space="preserve"> OX5</w:t>
            </w:r>
            <w:r w:rsidRPr="008437EB">
              <w:rPr>
                <w:rFonts w:ascii="Calibri" w:hAnsi="Calibri" w:cs="Arial"/>
                <w:noProof/>
                <w:spacing w:val="10"/>
              </w:rPr>
              <w:t xml:space="preserve"> </w:t>
            </w:r>
            <w:r>
              <w:rPr>
                <w:rFonts w:ascii="Calibri" w:hAnsi="Calibri" w:cs="Arial"/>
                <w:noProof/>
                <w:spacing w:val="10"/>
              </w:rPr>
              <w:t>1GF</w:t>
            </w:r>
          </w:p>
        </w:tc>
      </w:tr>
    </w:tbl>
    <w:p w:rsidR="00925CD1" w:rsidRDefault="00925CD1" w:rsidP="00925CD1">
      <w:pPr>
        <w:spacing w:after="60" w:line="264" w:lineRule="auto"/>
        <w:jc w:val="center"/>
        <w:rPr>
          <w:b/>
          <w:sz w:val="28"/>
          <w:szCs w:val="28"/>
        </w:rPr>
      </w:pPr>
    </w:p>
    <w:p w:rsidR="00925CD1" w:rsidRPr="00925CD1" w:rsidRDefault="00925CD1" w:rsidP="00F73BBD">
      <w:pPr>
        <w:spacing w:after="60" w:line="264" w:lineRule="auto"/>
        <w:ind w:left="-709"/>
        <w:jc w:val="center"/>
        <w:rPr>
          <w:b/>
          <w:sz w:val="28"/>
          <w:szCs w:val="28"/>
        </w:rPr>
      </w:pPr>
      <w:r w:rsidRPr="00925CD1">
        <w:rPr>
          <w:b/>
          <w:sz w:val="28"/>
          <w:szCs w:val="28"/>
        </w:rPr>
        <w:t xml:space="preserve">ADMISSIONS </w:t>
      </w:r>
      <w:r w:rsidR="00F73BBD">
        <w:rPr>
          <w:b/>
          <w:sz w:val="28"/>
          <w:szCs w:val="28"/>
        </w:rPr>
        <w:t>CONSULTATION GUIDANCE 2016</w:t>
      </w:r>
    </w:p>
    <w:p w:rsidR="00925CD1" w:rsidRPr="00925CD1" w:rsidRDefault="00925CD1" w:rsidP="00925CD1">
      <w:pPr>
        <w:spacing w:after="60" w:line="264" w:lineRule="auto"/>
        <w:ind w:left="-709"/>
      </w:pPr>
      <w:r w:rsidRPr="00925CD1">
        <w:t>Admission authorities must consult at least once every 7 years (</w:t>
      </w:r>
      <w:r w:rsidR="00F73BBD">
        <w:t>s</w:t>
      </w:r>
      <w:r w:rsidRPr="00925CD1">
        <w:t xml:space="preserve">1.42 School Admissions Code).  If material changes are proposed, other than PAN (published admission number) admissions authorities must </w:t>
      </w:r>
      <w:r>
        <w:t>consult</w:t>
      </w:r>
      <w:r w:rsidRPr="00925CD1">
        <w:t>.  Increases to PAN only require VA schools and academies to notify LA and publish information on school website.  Decreases in PAN require full consultation</w:t>
      </w:r>
      <w:r>
        <w:t xml:space="preserve">. </w:t>
      </w:r>
      <w:r w:rsidRPr="00925CD1">
        <w:t xml:space="preserve">Minor changes to definitions, dates, </w:t>
      </w:r>
      <w:r w:rsidR="00D2157A" w:rsidRPr="00925CD1">
        <w:t>etc.</w:t>
      </w:r>
      <w:r w:rsidRPr="00925CD1">
        <w:t xml:space="preserve"> do not trigger the need to consult.</w:t>
      </w:r>
    </w:p>
    <w:p w:rsidR="00925CD1" w:rsidRPr="00925CD1" w:rsidRDefault="00925CD1" w:rsidP="00925CD1">
      <w:pPr>
        <w:spacing w:after="60" w:line="264" w:lineRule="auto"/>
        <w:ind w:left="-709"/>
        <w:jc w:val="center"/>
        <w:rPr>
          <w:b/>
          <w:color w:val="FF0000"/>
        </w:rPr>
      </w:pPr>
      <w:r w:rsidRPr="00925CD1">
        <w:rPr>
          <w:b/>
          <w:color w:val="FF0000"/>
        </w:rPr>
        <w:t xml:space="preserve">IF IN DOUBT, </w:t>
      </w:r>
      <w:r>
        <w:rPr>
          <w:b/>
          <w:color w:val="FF0000"/>
        </w:rPr>
        <w:t xml:space="preserve">IT IS </w:t>
      </w:r>
      <w:r w:rsidRPr="00925CD1">
        <w:rPr>
          <w:b/>
          <w:color w:val="FF0000"/>
        </w:rPr>
        <w:t>BEST TO CONSULT!</w:t>
      </w:r>
    </w:p>
    <w:p w:rsidR="00925CD1" w:rsidRPr="00925CD1" w:rsidRDefault="00925CD1" w:rsidP="00925CD1">
      <w:pPr>
        <w:spacing w:after="60" w:line="264" w:lineRule="auto"/>
        <w:ind w:left="-709"/>
        <w:jc w:val="center"/>
        <w:rPr>
          <w:b/>
          <w:sz w:val="28"/>
          <w:szCs w:val="28"/>
        </w:rPr>
      </w:pPr>
      <w:r w:rsidRPr="00925CD1">
        <w:rPr>
          <w:b/>
          <w:sz w:val="28"/>
          <w:szCs w:val="28"/>
        </w:rPr>
        <w:t>CONSULTATION STEPS FOR 2018</w:t>
      </w:r>
    </w:p>
    <w:p w:rsidR="00925CD1" w:rsidRPr="00925CD1" w:rsidRDefault="00925CD1" w:rsidP="00925CD1">
      <w:pPr>
        <w:spacing w:after="60" w:line="264" w:lineRule="auto"/>
        <w:ind w:left="-709"/>
        <w:jc w:val="center"/>
        <w:rPr>
          <w:b/>
          <w:sz w:val="28"/>
          <w:szCs w:val="28"/>
        </w:rPr>
      </w:pPr>
      <w:r w:rsidRPr="00925CD1">
        <w:rPr>
          <w:b/>
          <w:sz w:val="28"/>
          <w:szCs w:val="28"/>
        </w:rPr>
        <w:t>(Admissions Policies 2018/19)</w:t>
      </w:r>
    </w:p>
    <w:p w:rsidR="00925CD1" w:rsidRPr="00925CD1" w:rsidRDefault="00925CD1" w:rsidP="00925CD1">
      <w:pPr>
        <w:spacing w:after="60" w:line="264" w:lineRule="auto"/>
        <w:ind w:left="-709"/>
        <w:jc w:val="center"/>
      </w:pPr>
      <w:r w:rsidRPr="00925CD1">
        <w:t xml:space="preserve">(Consult with </w:t>
      </w:r>
      <w:r w:rsidR="00F73BBD">
        <w:t>ODST</w:t>
      </w:r>
      <w:r w:rsidRPr="00925CD1">
        <w:t xml:space="preserve"> before anyone else!)</w:t>
      </w:r>
    </w:p>
    <w:tbl>
      <w:tblPr>
        <w:tblW w:w="102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8660"/>
      </w:tblGrid>
      <w:tr w:rsidR="00925CD1" w:rsidRPr="00925CD1" w:rsidTr="00F73BBD">
        <w:trPr>
          <w:trHeight w:val="360"/>
        </w:trPr>
        <w:tc>
          <w:tcPr>
            <w:tcW w:w="1565" w:type="dxa"/>
            <w:shd w:val="clear" w:color="auto" w:fill="auto"/>
            <w:vAlign w:val="center"/>
          </w:tcPr>
          <w:p w:rsidR="00925CD1" w:rsidRPr="00925CD1" w:rsidRDefault="00925CD1" w:rsidP="00F73BBD">
            <w:pPr>
              <w:spacing w:after="0" w:line="264" w:lineRule="auto"/>
              <w:jc w:val="center"/>
              <w:rPr>
                <w:b/>
              </w:rPr>
            </w:pPr>
            <w:r w:rsidRPr="00925CD1">
              <w:rPr>
                <w:b/>
              </w:rPr>
              <w:t>Jul/Sep 16</w:t>
            </w:r>
          </w:p>
        </w:tc>
        <w:tc>
          <w:tcPr>
            <w:tcW w:w="8660" w:type="dxa"/>
            <w:shd w:val="clear" w:color="auto" w:fill="auto"/>
          </w:tcPr>
          <w:p w:rsidR="00925CD1" w:rsidRPr="00925CD1" w:rsidRDefault="00925CD1" w:rsidP="00925CD1">
            <w:pPr>
              <w:spacing w:after="120" w:line="264" w:lineRule="auto"/>
            </w:pPr>
            <w:r w:rsidRPr="00925CD1">
              <w:t>Consider any changes needed to 2016 policy</w:t>
            </w:r>
          </w:p>
        </w:tc>
      </w:tr>
      <w:tr w:rsidR="00925CD1" w:rsidRPr="00925CD1" w:rsidTr="00F73BBD">
        <w:trPr>
          <w:trHeight w:val="630"/>
        </w:trPr>
        <w:tc>
          <w:tcPr>
            <w:tcW w:w="1565" w:type="dxa"/>
            <w:shd w:val="clear" w:color="auto" w:fill="auto"/>
            <w:vAlign w:val="center"/>
          </w:tcPr>
          <w:p w:rsidR="00925CD1" w:rsidRPr="00925CD1" w:rsidRDefault="00925CD1" w:rsidP="00F73BBD">
            <w:pPr>
              <w:spacing w:after="0" w:line="264" w:lineRule="auto"/>
              <w:jc w:val="center"/>
              <w:rPr>
                <w:b/>
              </w:rPr>
            </w:pPr>
            <w:r w:rsidRPr="00925CD1">
              <w:rPr>
                <w:b/>
              </w:rPr>
              <w:t>No later than mid-Sep 16</w:t>
            </w:r>
          </w:p>
        </w:tc>
        <w:tc>
          <w:tcPr>
            <w:tcW w:w="8660" w:type="dxa"/>
            <w:shd w:val="clear" w:color="auto" w:fill="auto"/>
          </w:tcPr>
          <w:p w:rsidR="00925CD1" w:rsidRPr="00925CD1" w:rsidRDefault="00925CD1" w:rsidP="00925CD1">
            <w:pPr>
              <w:spacing w:after="120" w:line="264" w:lineRule="auto"/>
            </w:pPr>
            <w:r w:rsidRPr="00925CD1">
              <w:t>Consult with Diocese and take into account any advice received</w:t>
            </w:r>
            <w:r w:rsidRPr="00925CD1">
              <w:rPr>
                <w:u w:val="single"/>
              </w:rPr>
              <w:t>, particularly on faith-based criteria</w:t>
            </w:r>
          </w:p>
        </w:tc>
      </w:tr>
      <w:tr w:rsidR="00925CD1" w:rsidRPr="00925CD1" w:rsidTr="00F73BBD">
        <w:trPr>
          <w:trHeight w:val="4984"/>
        </w:trPr>
        <w:tc>
          <w:tcPr>
            <w:tcW w:w="1565" w:type="dxa"/>
            <w:shd w:val="clear" w:color="auto" w:fill="auto"/>
            <w:vAlign w:val="center"/>
          </w:tcPr>
          <w:p w:rsidR="00925CD1" w:rsidRPr="00925CD1" w:rsidRDefault="00925CD1" w:rsidP="00F73BBD">
            <w:pPr>
              <w:spacing w:after="0" w:line="264" w:lineRule="auto"/>
              <w:jc w:val="center"/>
              <w:rPr>
                <w:b/>
              </w:rPr>
            </w:pPr>
            <w:r w:rsidRPr="00925CD1">
              <w:rPr>
                <w:b/>
              </w:rPr>
              <w:t>Between:</w:t>
            </w:r>
          </w:p>
          <w:p w:rsidR="00925CD1" w:rsidRPr="00925CD1" w:rsidRDefault="00925CD1" w:rsidP="00F73BBD">
            <w:pPr>
              <w:spacing w:after="0" w:line="264" w:lineRule="auto"/>
              <w:jc w:val="center"/>
              <w:rPr>
                <w:b/>
              </w:rPr>
            </w:pPr>
            <w:r w:rsidRPr="00925CD1">
              <w:rPr>
                <w:b/>
              </w:rPr>
              <w:t>1 Oct 16 –</w:t>
            </w:r>
          </w:p>
          <w:p w:rsidR="00925CD1" w:rsidRPr="00925CD1" w:rsidRDefault="00925CD1" w:rsidP="00F73BBD">
            <w:pPr>
              <w:spacing w:after="0" w:line="264" w:lineRule="auto"/>
              <w:jc w:val="center"/>
            </w:pPr>
            <w:r w:rsidRPr="00925CD1">
              <w:rPr>
                <w:b/>
              </w:rPr>
              <w:t>31 Jan 17</w:t>
            </w:r>
          </w:p>
        </w:tc>
        <w:tc>
          <w:tcPr>
            <w:tcW w:w="8660" w:type="dxa"/>
            <w:shd w:val="clear" w:color="auto" w:fill="auto"/>
          </w:tcPr>
          <w:p w:rsidR="00925CD1" w:rsidRPr="00925CD1" w:rsidRDefault="00925CD1" w:rsidP="00925CD1">
            <w:pPr>
              <w:spacing w:after="120" w:line="264" w:lineRule="auto"/>
            </w:pPr>
            <w:r w:rsidRPr="00925CD1">
              <w:t xml:space="preserve">Consult more widely for a minimum of </w:t>
            </w:r>
            <w:r w:rsidRPr="00925CD1">
              <w:rPr>
                <w:u w:val="single"/>
              </w:rPr>
              <w:t>6</w:t>
            </w:r>
            <w:r w:rsidRPr="00925CD1">
              <w:t xml:space="preserve"> weeks between </w:t>
            </w:r>
          </w:p>
          <w:p w:rsidR="00925CD1" w:rsidRPr="00925CD1" w:rsidRDefault="00925CD1" w:rsidP="00925CD1">
            <w:pPr>
              <w:spacing w:after="120" w:line="264" w:lineRule="auto"/>
              <w:rPr>
                <w:u w:val="single"/>
              </w:rPr>
            </w:pPr>
            <w:r w:rsidRPr="00925CD1">
              <w:t>1 October 2016 and 31 January 2017</w:t>
            </w:r>
            <w:r>
              <w:t xml:space="preserve">. </w:t>
            </w:r>
            <w:r w:rsidRPr="00925CD1">
              <w:rPr>
                <w:u w:val="single"/>
              </w:rPr>
              <w:t>It is best to start before the Autumn Term half term holiday</w:t>
            </w:r>
          </w:p>
          <w:p w:rsidR="00925CD1" w:rsidRPr="00925CD1" w:rsidRDefault="00925CD1" w:rsidP="00925CD1">
            <w:pPr>
              <w:numPr>
                <w:ilvl w:val="0"/>
                <w:numId w:val="1"/>
              </w:numPr>
              <w:spacing w:after="0" w:line="264" w:lineRule="auto"/>
              <w:ind w:left="714" w:hanging="357"/>
            </w:pPr>
            <w:r w:rsidRPr="00925CD1">
              <w:t>Parents of children between 2 and 18</w:t>
            </w:r>
          </w:p>
          <w:p w:rsidR="00925CD1" w:rsidRPr="00925CD1" w:rsidRDefault="00925CD1" w:rsidP="00925CD1">
            <w:pPr>
              <w:numPr>
                <w:ilvl w:val="0"/>
                <w:numId w:val="1"/>
              </w:numPr>
              <w:spacing w:after="0" w:line="264" w:lineRule="auto"/>
              <w:ind w:left="714" w:hanging="357"/>
            </w:pPr>
            <w:r w:rsidRPr="00925CD1">
              <w:t>All other admission authorities in “relevant area” – normally the whole of the LA</w:t>
            </w:r>
            <w:r w:rsidRPr="00925CD1">
              <w:rPr>
                <w:b/>
                <w:vertAlign w:val="superscript"/>
              </w:rPr>
              <w:footnoteReference w:id="1"/>
            </w:r>
            <w:r w:rsidRPr="00925CD1">
              <w:t xml:space="preserve"> (primary schools need not consult secondary schools)</w:t>
            </w:r>
          </w:p>
          <w:p w:rsidR="00925CD1" w:rsidRPr="00925CD1" w:rsidRDefault="00925CD1" w:rsidP="00925CD1">
            <w:pPr>
              <w:numPr>
                <w:ilvl w:val="0"/>
                <w:numId w:val="1"/>
              </w:numPr>
              <w:spacing w:after="0" w:line="264" w:lineRule="auto"/>
              <w:ind w:left="714" w:hanging="357"/>
            </w:pPr>
            <w:r w:rsidRPr="00925CD1">
              <w:t>LA</w:t>
            </w:r>
          </w:p>
          <w:p w:rsidR="00925CD1" w:rsidRPr="00925CD1" w:rsidRDefault="00925CD1" w:rsidP="00925CD1">
            <w:pPr>
              <w:numPr>
                <w:ilvl w:val="0"/>
                <w:numId w:val="1"/>
              </w:numPr>
              <w:spacing w:after="0" w:line="264" w:lineRule="auto"/>
              <w:ind w:left="714" w:hanging="357"/>
            </w:pPr>
            <w:r w:rsidRPr="00925CD1">
              <w:t xml:space="preserve">Other persons in “relevant area” who might have an interest, e.g. nurseries, play groups, local councils, </w:t>
            </w:r>
            <w:r w:rsidR="00D2157A" w:rsidRPr="00925CD1">
              <w:t>etc.</w:t>
            </w:r>
          </w:p>
          <w:p w:rsidR="00925CD1" w:rsidRPr="00925CD1" w:rsidRDefault="00925CD1" w:rsidP="00925CD1">
            <w:pPr>
              <w:numPr>
                <w:ilvl w:val="0"/>
                <w:numId w:val="1"/>
              </w:numPr>
              <w:spacing w:after="0" w:line="264" w:lineRule="auto"/>
              <w:ind w:left="714" w:hanging="357"/>
            </w:pPr>
            <w:r w:rsidRPr="00925CD1">
              <w:t>Adjoining neighbouring LAs where admission authority is the LA</w:t>
            </w:r>
          </w:p>
          <w:p w:rsidR="00925CD1" w:rsidRPr="00925CD1" w:rsidRDefault="00925CD1" w:rsidP="00925CD1">
            <w:pPr>
              <w:numPr>
                <w:ilvl w:val="0"/>
                <w:numId w:val="2"/>
              </w:numPr>
              <w:spacing w:after="0" w:line="264" w:lineRule="auto"/>
              <w:ind w:left="714" w:hanging="357"/>
            </w:pPr>
            <w:r w:rsidRPr="00925CD1">
              <w:rPr>
                <w:b/>
                <w:bCs/>
              </w:rPr>
              <w:t xml:space="preserve">Must </w:t>
            </w:r>
            <w:r w:rsidRPr="00925CD1">
              <w:t>publish draft admission arrangements on school website with details of how and to whom to comment, preferably drawing attention to major changes</w:t>
            </w:r>
          </w:p>
          <w:p w:rsidR="00925CD1" w:rsidRPr="00925CD1" w:rsidRDefault="00925CD1" w:rsidP="00925CD1">
            <w:pPr>
              <w:numPr>
                <w:ilvl w:val="0"/>
                <w:numId w:val="2"/>
              </w:numPr>
              <w:spacing w:after="0" w:line="264" w:lineRule="auto"/>
              <w:ind w:left="714" w:hanging="357"/>
            </w:pPr>
            <w:r w:rsidRPr="00925CD1">
              <w:t>Suggest send copies to LA for possible publication on LA website</w:t>
            </w:r>
          </w:p>
          <w:p w:rsidR="00925CD1" w:rsidRPr="00925CD1" w:rsidRDefault="00925CD1" w:rsidP="00925CD1">
            <w:pPr>
              <w:numPr>
                <w:ilvl w:val="0"/>
                <w:numId w:val="2"/>
              </w:numPr>
              <w:spacing w:after="0" w:line="264" w:lineRule="auto"/>
              <w:ind w:left="714" w:hanging="357"/>
            </w:pPr>
            <w:r w:rsidRPr="00925CD1">
              <w:t>Suggest send email to all other admissions authorities in “relevant area”</w:t>
            </w:r>
          </w:p>
          <w:p w:rsidR="00925CD1" w:rsidRPr="00925CD1" w:rsidRDefault="00925CD1" w:rsidP="00925CD1">
            <w:pPr>
              <w:numPr>
                <w:ilvl w:val="0"/>
                <w:numId w:val="2"/>
              </w:numPr>
              <w:spacing w:after="0" w:line="264" w:lineRule="auto"/>
              <w:ind w:left="714" w:hanging="357"/>
            </w:pPr>
            <w:r w:rsidRPr="00925CD1">
              <w:t xml:space="preserve">Suggest provide copies to nurseries, play groups, </w:t>
            </w:r>
            <w:r w:rsidR="00D2157A" w:rsidRPr="00925CD1">
              <w:t>etc.</w:t>
            </w:r>
          </w:p>
          <w:p w:rsidR="00925CD1" w:rsidRPr="00925CD1" w:rsidRDefault="00925CD1" w:rsidP="00925CD1">
            <w:pPr>
              <w:numPr>
                <w:ilvl w:val="0"/>
                <w:numId w:val="2"/>
              </w:numPr>
              <w:spacing w:after="0" w:line="264" w:lineRule="auto"/>
              <w:ind w:left="714" w:hanging="357"/>
              <w:rPr>
                <w:b/>
                <w:bCs/>
              </w:rPr>
            </w:pPr>
            <w:r w:rsidRPr="00925CD1">
              <w:rPr>
                <w:b/>
                <w:bCs/>
              </w:rPr>
              <w:t>Must</w:t>
            </w:r>
            <w:r w:rsidRPr="00925CD1">
              <w:t xml:space="preserve"> send copies on request to anyone listed in </w:t>
            </w:r>
            <w:r w:rsidR="00F73BBD">
              <w:t>s</w:t>
            </w:r>
            <w:r w:rsidRPr="00925CD1">
              <w:t>1.44</w:t>
            </w:r>
            <w:r w:rsidR="00D2157A">
              <w:t xml:space="preserve"> </w:t>
            </w:r>
            <w:r w:rsidR="00D2157A" w:rsidRPr="00D2157A">
              <w:rPr>
                <w:vertAlign w:val="superscript"/>
              </w:rPr>
              <w:t>note</w:t>
            </w:r>
            <w:r w:rsidR="00F73BBD" w:rsidRPr="00F73BBD">
              <w:rPr>
                <w:vertAlign w:val="superscript"/>
              </w:rPr>
              <w:t>1</w:t>
            </w:r>
          </w:p>
          <w:p w:rsidR="00925CD1" w:rsidRPr="00925CD1" w:rsidRDefault="00925CD1" w:rsidP="00925CD1">
            <w:pPr>
              <w:numPr>
                <w:ilvl w:val="0"/>
                <w:numId w:val="2"/>
              </w:numPr>
              <w:spacing w:after="0" w:line="264" w:lineRule="auto"/>
              <w:ind w:left="714" w:hanging="357"/>
              <w:rPr>
                <w:bCs/>
              </w:rPr>
            </w:pPr>
            <w:r w:rsidRPr="00925CD1">
              <w:rPr>
                <w:bCs/>
              </w:rPr>
              <w:t>Keep records/evidence (paper trails) of all those consulted as the OSA will require this information if your policy is referred</w:t>
            </w:r>
          </w:p>
        </w:tc>
      </w:tr>
      <w:tr w:rsidR="00925CD1" w:rsidRPr="00925CD1" w:rsidTr="00F73BBD">
        <w:trPr>
          <w:trHeight w:val="2787"/>
        </w:trPr>
        <w:tc>
          <w:tcPr>
            <w:tcW w:w="1565" w:type="dxa"/>
            <w:shd w:val="clear" w:color="auto" w:fill="auto"/>
            <w:vAlign w:val="center"/>
          </w:tcPr>
          <w:p w:rsidR="00F73BBD" w:rsidRDefault="00F73BBD" w:rsidP="00F73BBD">
            <w:pPr>
              <w:spacing w:after="120" w:line="26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By</w:t>
            </w:r>
          </w:p>
          <w:p w:rsidR="00925CD1" w:rsidRPr="00925CD1" w:rsidRDefault="00925CD1" w:rsidP="00F73BBD">
            <w:pPr>
              <w:spacing w:after="120" w:line="264" w:lineRule="auto"/>
              <w:jc w:val="center"/>
              <w:rPr>
                <w:b/>
              </w:rPr>
            </w:pPr>
            <w:r w:rsidRPr="00925CD1">
              <w:rPr>
                <w:b/>
              </w:rPr>
              <w:t>28 Feb 17</w:t>
            </w:r>
          </w:p>
        </w:tc>
        <w:tc>
          <w:tcPr>
            <w:tcW w:w="8660" w:type="dxa"/>
            <w:shd w:val="clear" w:color="auto" w:fill="auto"/>
          </w:tcPr>
          <w:p w:rsidR="00925CD1" w:rsidRPr="00925CD1" w:rsidRDefault="00925CD1" w:rsidP="00925CD1">
            <w:pPr>
              <w:spacing w:after="120" w:line="264" w:lineRule="auto"/>
              <w:rPr>
                <w:b/>
              </w:rPr>
            </w:pPr>
            <w:r w:rsidRPr="00925CD1">
              <w:rPr>
                <w:b/>
              </w:rPr>
              <w:t>DETERMINATION</w:t>
            </w:r>
          </w:p>
          <w:p w:rsidR="00925CD1" w:rsidRPr="00925CD1" w:rsidRDefault="00925CD1" w:rsidP="00925CD1">
            <w:pPr>
              <w:spacing w:after="120" w:line="264" w:lineRule="auto"/>
            </w:pPr>
            <w:r w:rsidRPr="00925CD1">
              <w:t xml:space="preserve">All admission authorities must determine their policies </w:t>
            </w:r>
            <w:r w:rsidR="00F73BBD" w:rsidRPr="00925CD1">
              <w:t xml:space="preserve">by </w:t>
            </w:r>
            <w:r w:rsidR="00F73BBD">
              <w:t>28</w:t>
            </w:r>
            <w:r w:rsidRPr="00925CD1">
              <w:t xml:space="preserve"> Feb 2017 even if no changes and no consultation needed</w:t>
            </w:r>
          </w:p>
          <w:p w:rsidR="00925CD1" w:rsidRPr="00925CD1" w:rsidRDefault="00925CD1" w:rsidP="00925CD1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64" w:lineRule="auto"/>
              <w:ind w:left="714" w:hanging="357"/>
            </w:pPr>
            <w:r w:rsidRPr="00925CD1">
              <w:rPr>
                <w:b/>
                <w:bCs/>
              </w:rPr>
              <w:t>Must</w:t>
            </w:r>
            <w:r w:rsidRPr="00925CD1">
              <w:t xml:space="preserve"> notify all those consulted </w:t>
            </w:r>
            <w:r w:rsidRPr="00925CD1">
              <w:rPr>
                <w:u w:val="single"/>
              </w:rPr>
              <w:t>plus GBs of community and VC schools in “relevant area”</w:t>
            </w:r>
            <w:r w:rsidR="00B45BC1">
              <w:t xml:space="preserve"> </w:t>
            </w:r>
          </w:p>
          <w:p w:rsidR="00F73BBD" w:rsidRPr="00F73BBD" w:rsidRDefault="00925CD1" w:rsidP="00925CD1">
            <w:pPr>
              <w:numPr>
                <w:ilvl w:val="0"/>
                <w:numId w:val="3"/>
              </w:numPr>
              <w:spacing w:after="0" w:line="264" w:lineRule="auto"/>
              <w:ind w:left="714" w:hanging="357"/>
            </w:pPr>
            <w:r w:rsidRPr="00925CD1">
              <w:rPr>
                <w:b/>
              </w:rPr>
              <w:t xml:space="preserve">Must send copy to </w:t>
            </w:r>
            <w:r w:rsidR="00F73BBD">
              <w:rPr>
                <w:b/>
              </w:rPr>
              <w:t>ODST</w:t>
            </w:r>
          </w:p>
          <w:p w:rsidR="00925CD1" w:rsidRPr="00925CD1" w:rsidRDefault="00F73BBD" w:rsidP="00925CD1">
            <w:pPr>
              <w:numPr>
                <w:ilvl w:val="0"/>
                <w:numId w:val="3"/>
              </w:numPr>
              <w:spacing w:after="0" w:line="264" w:lineRule="auto"/>
              <w:ind w:left="714" w:hanging="357"/>
            </w:pPr>
            <w:r>
              <w:rPr>
                <w:b/>
              </w:rPr>
              <w:t xml:space="preserve">Must send a copy to the </w:t>
            </w:r>
            <w:r w:rsidR="00925CD1" w:rsidRPr="00925CD1">
              <w:rPr>
                <w:b/>
              </w:rPr>
              <w:t>Diocese</w:t>
            </w:r>
            <w:r>
              <w:rPr>
                <w:b/>
              </w:rPr>
              <w:t xml:space="preserve"> (CE schools only)</w:t>
            </w:r>
          </w:p>
          <w:p w:rsidR="00925CD1" w:rsidRPr="00925CD1" w:rsidRDefault="00925CD1" w:rsidP="00925CD1">
            <w:pPr>
              <w:numPr>
                <w:ilvl w:val="0"/>
                <w:numId w:val="3"/>
              </w:numPr>
              <w:spacing w:after="0" w:line="264" w:lineRule="auto"/>
              <w:ind w:left="714" w:hanging="357"/>
            </w:pPr>
            <w:r w:rsidRPr="00925CD1">
              <w:rPr>
                <w:b/>
                <w:bCs/>
              </w:rPr>
              <w:t>Must</w:t>
            </w:r>
            <w:r w:rsidRPr="00925CD1">
              <w:t xml:space="preserve"> publish copy of determined</w:t>
            </w:r>
            <w:r w:rsidR="00B45BC1">
              <w:t xml:space="preserve"> arrangements on school website and</w:t>
            </w:r>
            <w:r w:rsidRPr="00925CD1">
              <w:t xml:space="preserve"> also give details of how to refer objections to Schools Adjudicator (by 15 May 2017)</w:t>
            </w:r>
          </w:p>
          <w:p w:rsidR="00925CD1" w:rsidRPr="00925CD1" w:rsidRDefault="00925CD1" w:rsidP="00925CD1">
            <w:pPr>
              <w:numPr>
                <w:ilvl w:val="0"/>
                <w:numId w:val="3"/>
              </w:numPr>
              <w:spacing w:after="0" w:line="264" w:lineRule="auto"/>
              <w:ind w:left="714" w:hanging="357"/>
            </w:pPr>
            <w:r w:rsidRPr="00925CD1">
              <w:rPr>
                <w:b/>
                <w:bCs/>
              </w:rPr>
              <w:t>Must</w:t>
            </w:r>
            <w:r w:rsidRPr="00925CD1">
              <w:t xml:space="preserve"> send copy to LA no later than 15 Mar 2015)</w:t>
            </w:r>
          </w:p>
          <w:p w:rsidR="00925CD1" w:rsidRPr="00925CD1" w:rsidRDefault="00925CD1" w:rsidP="00925CD1">
            <w:pPr>
              <w:numPr>
                <w:ilvl w:val="0"/>
                <w:numId w:val="3"/>
              </w:numPr>
              <w:spacing w:after="0" w:line="264" w:lineRule="auto"/>
              <w:ind w:left="714" w:hanging="357"/>
            </w:pPr>
            <w:r w:rsidRPr="00925CD1">
              <w:rPr>
                <w:bCs/>
              </w:rPr>
              <w:t>Clearly mark the policy as your ‘Determined Policy 2018’</w:t>
            </w:r>
          </w:p>
        </w:tc>
      </w:tr>
    </w:tbl>
    <w:p w:rsidR="003C0801" w:rsidRDefault="003C0801" w:rsidP="00B45BC1">
      <w:pPr>
        <w:ind w:left="-567"/>
      </w:pPr>
    </w:p>
    <w:p w:rsidR="00B45BC1" w:rsidRDefault="00B45BC1" w:rsidP="00B45BC1">
      <w:pPr>
        <w:ind w:left="-567"/>
      </w:pPr>
      <w:r>
        <w:t>Notes:</w:t>
      </w:r>
    </w:p>
    <w:p w:rsidR="003C0801" w:rsidRPr="00F73BBD" w:rsidRDefault="00F73BBD" w:rsidP="00B45BC1">
      <w:pPr>
        <w:ind w:left="-567"/>
      </w:pPr>
      <w:r w:rsidRPr="00F73BBD">
        <w:rPr>
          <w:vertAlign w:val="superscript"/>
        </w:rPr>
        <w:t xml:space="preserve">1 </w:t>
      </w:r>
      <w:r w:rsidRPr="00F73BBD">
        <w:t>Section 1.44 School Admission code</w:t>
      </w:r>
      <w:r w:rsidR="00B45BC1">
        <w:t xml:space="preserve"> (2015)</w:t>
      </w:r>
    </w:p>
    <w:p w:rsidR="00F73BBD" w:rsidRDefault="00F73BBD" w:rsidP="00B45BC1">
      <w:pPr>
        <w:pStyle w:val="ListParagraph"/>
        <w:numPr>
          <w:ilvl w:val="0"/>
          <w:numId w:val="4"/>
        </w:numPr>
        <w:ind w:left="0"/>
      </w:pPr>
      <w:r>
        <w:t xml:space="preserve">parents of children between the ages of two and eighteen; </w:t>
      </w:r>
    </w:p>
    <w:p w:rsidR="00F73BBD" w:rsidRDefault="00F73BBD" w:rsidP="00B45BC1">
      <w:pPr>
        <w:pStyle w:val="ListParagraph"/>
        <w:numPr>
          <w:ilvl w:val="0"/>
          <w:numId w:val="4"/>
        </w:numPr>
        <w:ind w:left="0"/>
      </w:pPr>
      <w:r>
        <w:t xml:space="preserve">other persons in the relevant area who in the opinion of the admission authority have an interest in the proposed admissions; </w:t>
      </w:r>
    </w:p>
    <w:p w:rsidR="00F73BBD" w:rsidRDefault="00F73BBD" w:rsidP="00B45BC1">
      <w:pPr>
        <w:pStyle w:val="ListParagraph"/>
        <w:numPr>
          <w:ilvl w:val="0"/>
          <w:numId w:val="4"/>
        </w:numPr>
        <w:ind w:left="0"/>
      </w:pPr>
      <w:r>
        <w:t>all other admission authorities within the relevant area (except that primary schools need not consult secondary schools);</w:t>
      </w:r>
    </w:p>
    <w:p w:rsidR="00F73BBD" w:rsidRDefault="00F73BBD" w:rsidP="00B45BC1">
      <w:pPr>
        <w:pStyle w:val="ListParagraph"/>
        <w:numPr>
          <w:ilvl w:val="0"/>
          <w:numId w:val="4"/>
        </w:numPr>
        <w:ind w:left="0"/>
      </w:pPr>
      <w:r>
        <w:t>whichever of the governing body and the local authority who are not the admission authority;</w:t>
      </w:r>
    </w:p>
    <w:p w:rsidR="00F73BBD" w:rsidRDefault="00F73BBD" w:rsidP="00B45BC1">
      <w:pPr>
        <w:pStyle w:val="ListParagraph"/>
        <w:numPr>
          <w:ilvl w:val="0"/>
          <w:numId w:val="4"/>
        </w:numPr>
        <w:ind w:left="0"/>
      </w:pPr>
      <w:r>
        <w:t>any adjoining neighbouring local authorities where the admission authority is the local authority; and</w:t>
      </w:r>
    </w:p>
    <w:p w:rsidR="00F73BBD" w:rsidRPr="00F73BBD" w:rsidRDefault="00F73BBD" w:rsidP="00B45BC1">
      <w:pPr>
        <w:pStyle w:val="ListParagraph"/>
        <w:numPr>
          <w:ilvl w:val="0"/>
          <w:numId w:val="4"/>
        </w:numPr>
        <w:ind w:left="0"/>
      </w:pPr>
      <w:r>
        <w:t>in the case of schools designated with a religious character, the body or person representing the religion or religious denomination.</w:t>
      </w:r>
    </w:p>
    <w:sectPr w:rsidR="00F73BBD" w:rsidRPr="00F73BBD" w:rsidSect="00925CD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10" w:rsidRDefault="009E5B10" w:rsidP="00925CD1">
      <w:pPr>
        <w:spacing w:after="0" w:line="240" w:lineRule="auto"/>
      </w:pPr>
      <w:r>
        <w:separator/>
      </w:r>
    </w:p>
  </w:endnote>
  <w:endnote w:type="continuationSeparator" w:id="0">
    <w:p w:rsidR="009E5B10" w:rsidRDefault="009E5B10" w:rsidP="0092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10" w:rsidRDefault="009E5B10" w:rsidP="00925CD1">
      <w:pPr>
        <w:spacing w:after="0" w:line="240" w:lineRule="auto"/>
      </w:pPr>
      <w:r>
        <w:separator/>
      </w:r>
    </w:p>
  </w:footnote>
  <w:footnote w:type="continuationSeparator" w:id="0">
    <w:p w:rsidR="009E5B10" w:rsidRDefault="009E5B10" w:rsidP="00925CD1">
      <w:pPr>
        <w:spacing w:after="0" w:line="240" w:lineRule="auto"/>
      </w:pPr>
      <w:r>
        <w:continuationSeparator/>
      </w:r>
    </w:p>
  </w:footnote>
  <w:footnote w:id="1">
    <w:p w:rsidR="00925CD1" w:rsidRPr="00614508" w:rsidRDefault="00925CD1" w:rsidP="00925CD1">
      <w:pPr>
        <w:pStyle w:val="FootnoteText"/>
        <w:rPr>
          <w:color w:val="0516BB"/>
          <w:sz w:val="18"/>
          <w:szCs w:val="18"/>
        </w:rPr>
      </w:pPr>
      <w:r w:rsidRPr="00614508">
        <w:rPr>
          <w:rStyle w:val="FootnoteReference"/>
          <w:b/>
          <w:color w:val="0516BB"/>
          <w:sz w:val="18"/>
          <w:szCs w:val="18"/>
        </w:rPr>
        <w:footnoteRef/>
      </w:r>
      <w:r w:rsidRPr="00614508">
        <w:rPr>
          <w:b/>
          <w:color w:val="0516BB"/>
          <w:sz w:val="18"/>
          <w:szCs w:val="18"/>
        </w:rPr>
        <w:t xml:space="preserve"> </w:t>
      </w:r>
      <w:r w:rsidRPr="00D2157A">
        <w:rPr>
          <w:rFonts w:ascii="Arial Narrow" w:hAnsi="Arial Narrow"/>
          <w:sz w:val="18"/>
          <w:szCs w:val="18"/>
        </w:rPr>
        <w:t xml:space="preserve">Several schools within the diocese join together to put an advertisement in a local newspaper alerting any interested parties that their admissions policies are out for consultation and can be viewed on the admission </w:t>
      </w:r>
      <w:r w:rsidR="00D2157A" w:rsidRPr="00D2157A">
        <w:rPr>
          <w:rFonts w:ascii="Arial Narrow" w:hAnsi="Arial Narrow"/>
          <w:sz w:val="18"/>
          <w:szCs w:val="18"/>
        </w:rPr>
        <w:t>authority’s</w:t>
      </w:r>
      <w:r w:rsidRPr="00D2157A">
        <w:rPr>
          <w:rFonts w:ascii="Arial Narrow" w:hAnsi="Arial Narrow"/>
          <w:sz w:val="18"/>
          <w:szCs w:val="18"/>
        </w:rPr>
        <w:t xml:space="preserve"> websites, LA website and that copies are also available from the individual school</w:t>
      </w:r>
      <w:r w:rsidRPr="00614508">
        <w:rPr>
          <w:color w:val="0516BB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A78"/>
    <w:multiLevelType w:val="hybridMultilevel"/>
    <w:tmpl w:val="90E66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B4D"/>
    <w:multiLevelType w:val="hybridMultilevel"/>
    <w:tmpl w:val="9078E630"/>
    <w:lvl w:ilvl="0" w:tplc="6A522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D65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421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65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422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184E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E4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AE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E5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0383FC8"/>
    <w:multiLevelType w:val="hybridMultilevel"/>
    <w:tmpl w:val="4880AC0A"/>
    <w:lvl w:ilvl="0" w:tplc="76DEB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C60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87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C5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E3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E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CEC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E7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83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D9E5808"/>
    <w:multiLevelType w:val="hybridMultilevel"/>
    <w:tmpl w:val="DEAE601A"/>
    <w:lvl w:ilvl="0" w:tplc="18CA7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166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8FA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800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D41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C3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62E9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63E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EC15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D1"/>
    <w:rsid w:val="000A4B57"/>
    <w:rsid w:val="001A4A22"/>
    <w:rsid w:val="003C0801"/>
    <w:rsid w:val="004A3017"/>
    <w:rsid w:val="00925CD1"/>
    <w:rsid w:val="009E5B10"/>
    <w:rsid w:val="00B45BC1"/>
    <w:rsid w:val="00BB1440"/>
    <w:rsid w:val="00D2157A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0BC80-6175-44F2-A575-9B6E83A9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25C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5CD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925C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c\AppData\Roaming\Microsoft\Templates\ODST%20General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ODST General header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Cousins</dc:creator>
  <cp:lastModifiedBy>Ruth Jones</cp:lastModifiedBy>
  <cp:revision>2</cp:revision>
  <dcterms:created xsi:type="dcterms:W3CDTF">2016-09-22T14:23:00Z</dcterms:created>
  <dcterms:modified xsi:type="dcterms:W3CDTF">2016-09-22T14:23:00Z</dcterms:modified>
</cp:coreProperties>
</file>