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24E4" w14:textId="77777777" w:rsidR="00B2469B" w:rsidRDefault="006516FA">
      <w:pPr>
        <w:spacing w:line="240" w:lineRule="auto"/>
        <w:jc w:val="right"/>
        <w:rPr>
          <w:rFonts w:ascii="Century Gothic" w:eastAsia="Century Gothic" w:hAnsi="Century Gothic" w:cs="Century Gothic"/>
          <w:b/>
          <w:sz w:val="24"/>
          <w:szCs w:val="24"/>
        </w:rPr>
      </w:pPr>
      <w:r>
        <w:rPr>
          <w:rFonts w:ascii="Century Gothic" w:eastAsia="Century Gothic" w:hAnsi="Century Gothic" w:cs="Century Gothic"/>
          <w:b/>
          <w:noProof/>
          <w:sz w:val="24"/>
          <w:szCs w:val="24"/>
        </w:rPr>
        <w:drawing>
          <wp:inline distT="114300" distB="114300" distL="114300" distR="114300" wp14:anchorId="2BF6670B" wp14:editId="26DBE478">
            <wp:extent cx="2519363" cy="9245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19363" cy="924574"/>
                    </a:xfrm>
                    <a:prstGeom prst="rect">
                      <a:avLst/>
                    </a:prstGeom>
                    <a:ln/>
                  </pic:spPr>
                </pic:pic>
              </a:graphicData>
            </a:graphic>
          </wp:inline>
        </w:drawing>
      </w:r>
    </w:p>
    <w:p w14:paraId="60A3F899" w14:textId="77777777" w:rsidR="00B2469B" w:rsidRDefault="00B2469B">
      <w:pPr>
        <w:rPr>
          <w:rFonts w:ascii="Century Gothic" w:eastAsia="Century Gothic" w:hAnsi="Century Gothic" w:cs="Century Gothic"/>
          <w:b/>
          <w:sz w:val="24"/>
          <w:szCs w:val="24"/>
        </w:rPr>
      </w:pPr>
    </w:p>
    <w:p w14:paraId="0D84E126" w14:textId="77777777" w:rsidR="00B2469B" w:rsidRDefault="006516FA">
      <w:pPr>
        <w:rPr>
          <w:rFonts w:ascii="Century Gothic" w:eastAsia="Century Gothic" w:hAnsi="Century Gothic" w:cs="Century Gothic"/>
          <w:b/>
          <w:sz w:val="24"/>
          <w:szCs w:val="24"/>
        </w:rPr>
      </w:pPr>
      <w:r>
        <w:rPr>
          <w:rFonts w:ascii="Century Gothic" w:eastAsia="Century Gothic" w:hAnsi="Century Gothic" w:cs="Century Gothic"/>
          <w:b/>
          <w:sz w:val="24"/>
          <w:szCs w:val="24"/>
        </w:rPr>
        <w:t>International consensus on testosterone treatment for women.</w:t>
      </w:r>
    </w:p>
    <w:p w14:paraId="3DBE20EF" w14:textId="77777777" w:rsidR="00B2469B" w:rsidRDefault="00B2469B">
      <w:pPr>
        <w:rPr>
          <w:rFonts w:ascii="Century Gothic" w:eastAsia="Century Gothic" w:hAnsi="Century Gothic" w:cs="Century Gothic"/>
          <w:b/>
          <w:sz w:val="24"/>
          <w:szCs w:val="24"/>
        </w:rPr>
      </w:pPr>
    </w:p>
    <w:p w14:paraId="42023828" w14:textId="77777777" w:rsidR="00B2469B" w:rsidRDefault="006516FA">
      <w:pPr>
        <w:rPr>
          <w:rFonts w:ascii="Century Gothic" w:eastAsia="Century Gothic" w:hAnsi="Century Gothic" w:cs="Century Gothic"/>
          <w:b/>
          <w:i/>
          <w:sz w:val="24"/>
          <w:szCs w:val="24"/>
        </w:rPr>
      </w:pPr>
      <w:r>
        <w:rPr>
          <w:rFonts w:ascii="Century Gothic" w:eastAsia="Century Gothic" w:hAnsi="Century Gothic" w:cs="Century Gothic"/>
          <w:b/>
          <w:i/>
          <w:sz w:val="24"/>
          <w:szCs w:val="24"/>
        </w:rPr>
        <w:t>Agreement among leading experts about the benefits and risks of testosterone therapy for postmenopausal women.</w:t>
      </w:r>
    </w:p>
    <w:p w14:paraId="3E0A1ED6" w14:textId="77777777" w:rsidR="00B2469B" w:rsidRDefault="00B2469B">
      <w:pPr>
        <w:rPr>
          <w:rFonts w:ascii="Century Gothic" w:eastAsia="Century Gothic" w:hAnsi="Century Gothic" w:cs="Century Gothic"/>
          <w:sz w:val="24"/>
          <w:szCs w:val="24"/>
        </w:rPr>
      </w:pPr>
      <w:bookmarkStart w:id="0" w:name="_GoBack"/>
      <w:bookmarkEnd w:id="0"/>
    </w:p>
    <w:p w14:paraId="254DDD6C" w14:textId="77777777" w:rsidR="00B2469B" w:rsidRDefault="006516FA">
      <w:pPr>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The first Global Position Statement on the use of testosterone in the treatment of women, led by the International Menopause Society (IMS), was published in four leading international medical journals today. The statement has been authored by a diverse team of leading experts based around the world and has been endorsed by internationally-esteemed medical societies.</w:t>
      </w:r>
    </w:p>
    <w:p w14:paraId="37343E5E" w14:textId="77777777" w:rsidR="00B2469B" w:rsidRDefault="00B2469B">
      <w:pPr>
        <w:rPr>
          <w:rFonts w:ascii="Century Gothic" w:eastAsia="Century Gothic" w:hAnsi="Century Gothic" w:cs="Century Gothic"/>
          <w:sz w:val="24"/>
          <w:szCs w:val="24"/>
          <w:highlight w:val="white"/>
        </w:rPr>
      </w:pPr>
    </w:p>
    <w:p w14:paraId="6A497696" w14:textId="77777777" w:rsidR="00B2469B" w:rsidRDefault="006516FA">
      <w:pPr>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It follows years of debate regarding testosterone therapy for women and, for the first time, provides agreement among experts and medical societies about how testosterone could be prescribed for women.</w:t>
      </w:r>
    </w:p>
    <w:p w14:paraId="1F573B8D" w14:textId="77777777" w:rsidR="00B2469B" w:rsidRDefault="00B2469B">
      <w:pPr>
        <w:rPr>
          <w:rFonts w:ascii="Century Gothic" w:eastAsia="Century Gothic" w:hAnsi="Century Gothic" w:cs="Century Gothic"/>
          <w:b/>
          <w:sz w:val="24"/>
          <w:szCs w:val="24"/>
        </w:rPr>
      </w:pPr>
    </w:p>
    <w:p w14:paraId="709448A4"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An international task force of experts from leading medical societies, brought together by the IMS, produced the Global Position Statement to provide clear guidance regarding the prescribing and measurement of testosterone for female testosterone therapy as well as advice on testosterone prescribing practices that have the potential to be ineffectual or cause harm.</w:t>
      </w:r>
    </w:p>
    <w:p w14:paraId="03B3B32B" w14:textId="77777777" w:rsidR="00B2469B" w:rsidRDefault="00B2469B">
      <w:pPr>
        <w:rPr>
          <w:rFonts w:ascii="Century Gothic" w:eastAsia="Century Gothic" w:hAnsi="Century Gothic" w:cs="Century Gothic"/>
          <w:sz w:val="24"/>
          <w:szCs w:val="24"/>
        </w:rPr>
      </w:pPr>
    </w:p>
    <w:p w14:paraId="1FED2834"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They concluded that </w:t>
      </w:r>
      <w:r>
        <w:rPr>
          <w:rFonts w:ascii="Century Gothic" w:eastAsia="Century Gothic" w:hAnsi="Century Gothic" w:cs="Century Gothic"/>
          <w:sz w:val="24"/>
          <w:szCs w:val="24"/>
          <w:highlight w:val="white"/>
        </w:rPr>
        <w:t xml:space="preserve">testosterone </w:t>
      </w:r>
      <w:r>
        <w:rPr>
          <w:rFonts w:ascii="Century Gothic" w:eastAsia="Century Gothic" w:hAnsi="Century Gothic" w:cs="Century Gothic"/>
          <w:sz w:val="24"/>
          <w:szCs w:val="24"/>
        </w:rPr>
        <w:t xml:space="preserve">can be effective at improving sexual wellbeing for postmenopausal women with Hypoactive Sexual Desire Dysfunction (HSDD). </w:t>
      </w:r>
      <w:proofErr w:type="spellStart"/>
      <w:r>
        <w:rPr>
          <w:rFonts w:ascii="Century Gothic" w:eastAsia="Century Gothic" w:hAnsi="Century Gothic" w:cs="Century Gothic"/>
          <w:sz w:val="24"/>
          <w:szCs w:val="24"/>
        </w:rPr>
        <w:t>Recognised</w:t>
      </w:r>
      <w:proofErr w:type="spellEnd"/>
      <w:r>
        <w:rPr>
          <w:rFonts w:ascii="Century Gothic" w:eastAsia="Century Gothic" w:hAnsi="Century Gothic" w:cs="Century Gothic"/>
          <w:sz w:val="24"/>
          <w:szCs w:val="24"/>
        </w:rPr>
        <w:t xml:space="preserve"> benefits included improved sexual desire, arousal, orgasm and pleasure, together with reduced concerns and distress about sex.</w:t>
      </w:r>
    </w:p>
    <w:p w14:paraId="682C137A" w14:textId="77777777" w:rsidR="00B2469B" w:rsidRDefault="00B2469B">
      <w:pPr>
        <w:rPr>
          <w:rFonts w:ascii="Century Gothic" w:eastAsia="Century Gothic" w:hAnsi="Century Gothic" w:cs="Century Gothic"/>
          <w:sz w:val="24"/>
          <w:szCs w:val="24"/>
        </w:rPr>
      </w:pPr>
    </w:p>
    <w:p w14:paraId="7DF41F2F"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HSDD is thought to affect around 32% of women</w:t>
      </w:r>
      <w:r>
        <w:rPr>
          <w:rFonts w:ascii="Century Gothic" w:eastAsia="Century Gothic" w:hAnsi="Century Gothic" w:cs="Century Gothic"/>
          <w:sz w:val="24"/>
          <w:szCs w:val="24"/>
          <w:vertAlign w:val="superscript"/>
        </w:rPr>
        <w:footnoteReference w:id="1"/>
      </w:r>
      <w:r>
        <w:rPr>
          <w:rFonts w:ascii="Century Gothic" w:eastAsia="Century Gothic" w:hAnsi="Century Gothic" w:cs="Century Gothic"/>
          <w:sz w:val="24"/>
          <w:szCs w:val="24"/>
        </w:rPr>
        <w:t xml:space="preserve"> at midlife; and, while </w:t>
      </w:r>
      <w:r>
        <w:rPr>
          <w:rFonts w:ascii="Century Gothic" w:eastAsia="Century Gothic" w:hAnsi="Century Gothic" w:cs="Century Gothic"/>
          <w:sz w:val="24"/>
          <w:szCs w:val="24"/>
          <w:highlight w:val="white"/>
        </w:rPr>
        <w:t>it's common for women to lose interest in sex around the time of the menopause and after, the use of testosterone as a treatment offers women an approach that may significantly improve their sexual and related emotional wellbeing.</w:t>
      </w:r>
    </w:p>
    <w:p w14:paraId="195D558C" w14:textId="77777777" w:rsidR="00B2469B" w:rsidRDefault="00B2469B">
      <w:pPr>
        <w:rPr>
          <w:rFonts w:ascii="Century Gothic" w:eastAsia="Century Gothic" w:hAnsi="Century Gothic" w:cs="Century Gothic"/>
          <w:sz w:val="24"/>
          <w:szCs w:val="24"/>
          <w:highlight w:val="white"/>
        </w:rPr>
      </w:pPr>
    </w:p>
    <w:p w14:paraId="2CA79EEC"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b/>
          <w:sz w:val="24"/>
          <w:szCs w:val="24"/>
        </w:rPr>
        <w:t>Professor Susan Davis, President of the International Menopause Society said</w:t>
      </w:r>
      <w:r>
        <w:rPr>
          <w:rFonts w:ascii="Century Gothic" w:eastAsia="Century Gothic" w:hAnsi="Century Gothic" w:cs="Century Gothic"/>
          <w:sz w:val="24"/>
          <w:szCs w:val="24"/>
        </w:rPr>
        <w:t xml:space="preserve">:  </w:t>
      </w:r>
    </w:p>
    <w:p w14:paraId="35888D04" w14:textId="77777777" w:rsidR="00B2469B" w:rsidRDefault="00B2469B">
      <w:pPr>
        <w:rPr>
          <w:rFonts w:ascii="Century Gothic" w:eastAsia="Century Gothic" w:hAnsi="Century Gothic" w:cs="Century Gothic"/>
          <w:sz w:val="24"/>
          <w:szCs w:val="24"/>
        </w:rPr>
      </w:pPr>
    </w:p>
    <w:p w14:paraId="52969EA8"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w:t>
      </w:r>
      <w:r>
        <w:rPr>
          <w:rFonts w:ascii="Century Gothic" w:eastAsia="Century Gothic" w:hAnsi="Century Gothic" w:cs="Century Gothic"/>
          <w:sz w:val="24"/>
          <w:szCs w:val="24"/>
          <w:highlight w:val="white"/>
        </w:rPr>
        <w:t>position statement</w:t>
      </w:r>
      <w:r>
        <w:rPr>
          <w:rFonts w:ascii="Century Gothic" w:eastAsia="Century Gothic" w:hAnsi="Century Gothic" w:cs="Century Gothic"/>
          <w:sz w:val="24"/>
          <w:szCs w:val="24"/>
        </w:rPr>
        <w:t xml:space="preserve"> has far reaching global consequences. It not only reassures clinicians that a trial of testosterone therapy is appropriate for women with HSDD, but very emphatically states that, at present, the available evidence does not support the use of testosterone for any other symptoms or medical condition. </w:t>
      </w:r>
    </w:p>
    <w:p w14:paraId="77516274" w14:textId="77777777" w:rsidR="00B2469B" w:rsidRDefault="00B2469B">
      <w:pPr>
        <w:rPr>
          <w:rFonts w:ascii="Century Gothic" w:eastAsia="Century Gothic" w:hAnsi="Century Gothic" w:cs="Century Gothic"/>
          <w:sz w:val="24"/>
          <w:szCs w:val="24"/>
        </w:rPr>
      </w:pPr>
    </w:p>
    <w:p w14:paraId="083AEAAA"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“It also clearly advises that when testosterone therapy is given, the resultant blood levels should not be above those seen in healthy young women. We hope this will allow women who may benefit to be offered treatment, and simultaneously protect women from receiving inappropriate testosterone therapy.</w:t>
      </w:r>
    </w:p>
    <w:p w14:paraId="57492C3C"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D32E7A5"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am very proud that the IMS has led on the development of this crucial medical guidance”.  </w:t>
      </w:r>
    </w:p>
    <w:p w14:paraId="14ED635C" w14:textId="77777777" w:rsidR="00B2469B" w:rsidRDefault="006516FA">
      <w:pPr>
        <w:rPr>
          <w:rFonts w:ascii="Century Gothic" w:eastAsia="Century Gothic" w:hAnsi="Century Gothic" w:cs="Century Gothic"/>
          <w:sz w:val="24"/>
          <w:szCs w:val="24"/>
          <w:highlight w:val="yellow"/>
        </w:rPr>
      </w:pPr>
      <w:r>
        <w:rPr>
          <w:rFonts w:ascii="Century Gothic" w:eastAsia="Century Gothic" w:hAnsi="Century Gothic" w:cs="Century Gothic"/>
          <w:sz w:val="24"/>
          <w:szCs w:val="24"/>
          <w:highlight w:val="yellow"/>
        </w:rPr>
        <w:t xml:space="preserve"> </w:t>
      </w:r>
    </w:p>
    <w:p w14:paraId="72097FA9"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b/>
          <w:sz w:val="24"/>
          <w:szCs w:val="24"/>
        </w:rPr>
        <w:t>Dr. Sharon Parish, Professor of Clinical Medicine and Professor of Medicine in Clinical Psychiatry at Weill Cornell Medical College added</w:t>
      </w:r>
      <w:r>
        <w:rPr>
          <w:rFonts w:ascii="Century Gothic" w:eastAsia="Century Gothic" w:hAnsi="Century Gothic" w:cs="Century Gothic"/>
          <w:sz w:val="24"/>
          <w:szCs w:val="24"/>
        </w:rPr>
        <w:t>:</w:t>
      </w:r>
    </w:p>
    <w:p w14:paraId="71735BEB" w14:textId="77777777" w:rsidR="00B2469B" w:rsidRDefault="00B2469B">
      <w:pPr>
        <w:rPr>
          <w:rFonts w:ascii="Century Gothic" w:eastAsia="Century Gothic" w:hAnsi="Century Gothic" w:cs="Century Gothic"/>
          <w:sz w:val="24"/>
          <w:szCs w:val="24"/>
        </w:rPr>
      </w:pPr>
    </w:p>
    <w:p w14:paraId="719A4B5E"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w:t>
      </w:r>
      <w:r>
        <w:rPr>
          <w:rFonts w:ascii="Century Gothic" w:eastAsia="Century Gothic" w:hAnsi="Century Gothic" w:cs="Century Gothic"/>
          <w:sz w:val="24"/>
          <w:szCs w:val="24"/>
          <w:highlight w:val="white"/>
        </w:rPr>
        <w:t>Global Position Statement</w:t>
      </w:r>
      <w:r>
        <w:rPr>
          <w:rFonts w:ascii="Century Gothic" w:eastAsia="Century Gothic" w:hAnsi="Century Gothic" w:cs="Century Gothic"/>
          <w:sz w:val="24"/>
          <w:szCs w:val="24"/>
        </w:rPr>
        <w:t xml:space="preserve"> has been developed, approved, and endorsed by a broad group of experts from international women's health, sexual medicine, endocrine, gynecological and menopause societies across the world. </w:t>
      </w:r>
    </w:p>
    <w:p w14:paraId="474A3EDF" w14:textId="77777777" w:rsidR="00B2469B" w:rsidRDefault="00B2469B">
      <w:pPr>
        <w:rPr>
          <w:rFonts w:ascii="Century Gothic" w:eastAsia="Century Gothic" w:hAnsi="Century Gothic" w:cs="Century Gothic"/>
          <w:sz w:val="24"/>
          <w:szCs w:val="24"/>
        </w:rPr>
      </w:pPr>
    </w:p>
    <w:p w14:paraId="065AD63E"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key messages for clinicians and researchers who care for and study postmenopausal women across a wide array of clinical and research disciplines are that testosterone clearly has positive benefits on sexual function and minimal side effects and low risk </w:t>
      </w:r>
      <w:proofErr w:type="gramStart"/>
      <w:r>
        <w:rPr>
          <w:rFonts w:ascii="Century Gothic" w:eastAsia="Century Gothic" w:hAnsi="Century Gothic" w:cs="Century Gothic"/>
          <w:sz w:val="24"/>
          <w:szCs w:val="24"/>
        </w:rPr>
        <w:t>profiles, and</w:t>
      </w:r>
      <w:proofErr w:type="gramEnd"/>
      <w:r>
        <w:rPr>
          <w:rFonts w:ascii="Century Gothic" w:eastAsia="Century Gothic" w:hAnsi="Century Gothic" w:cs="Century Gothic"/>
          <w:sz w:val="24"/>
          <w:szCs w:val="24"/>
        </w:rPr>
        <w:t xml:space="preserve"> is a very important and critical treatment option for postmenopausal women with HSDD.”</w:t>
      </w:r>
    </w:p>
    <w:p w14:paraId="65D9CB35" w14:textId="77777777" w:rsidR="00B2469B" w:rsidRDefault="00B2469B">
      <w:pPr>
        <w:rPr>
          <w:rFonts w:ascii="Century Gothic" w:eastAsia="Century Gothic" w:hAnsi="Century Gothic" w:cs="Century Gothic"/>
          <w:sz w:val="24"/>
          <w:szCs w:val="24"/>
          <w:highlight w:val="white"/>
        </w:rPr>
      </w:pPr>
    </w:p>
    <w:p w14:paraId="6F55A36B" w14:textId="77777777" w:rsidR="00B2469B" w:rsidRDefault="006516FA">
      <w:pPr>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The international panel is calling on industry, </w:t>
      </w:r>
      <w:proofErr w:type="spellStart"/>
      <w:proofErr w:type="gramStart"/>
      <w:r>
        <w:rPr>
          <w:rFonts w:ascii="Century Gothic" w:eastAsia="Century Gothic" w:hAnsi="Century Gothic" w:cs="Century Gothic"/>
          <w:sz w:val="24"/>
          <w:szCs w:val="24"/>
          <w:highlight w:val="white"/>
        </w:rPr>
        <w:t>researchers,and</w:t>
      </w:r>
      <w:proofErr w:type="spellEnd"/>
      <w:proofErr w:type="gramEnd"/>
      <w:r>
        <w:rPr>
          <w:rFonts w:ascii="Century Gothic" w:eastAsia="Century Gothic" w:hAnsi="Century Gothic" w:cs="Century Gothic"/>
          <w:sz w:val="24"/>
          <w:szCs w:val="24"/>
          <w:highlight w:val="white"/>
        </w:rPr>
        <w:t xml:space="preserve"> funding </w:t>
      </w:r>
      <w:proofErr w:type="spellStart"/>
      <w:r>
        <w:rPr>
          <w:rFonts w:ascii="Century Gothic" w:eastAsia="Century Gothic" w:hAnsi="Century Gothic" w:cs="Century Gothic"/>
          <w:sz w:val="24"/>
          <w:szCs w:val="24"/>
          <w:highlight w:val="white"/>
        </w:rPr>
        <w:t>organisations</w:t>
      </w:r>
      <w:proofErr w:type="spellEnd"/>
      <w:r>
        <w:rPr>
          <w:rFonts w:ascii="Century Gothic" w:eastAsia="Century Gothic" w:hAnsi="Century Gothic" w:cs="Century Gothic"/>
          <w:sz w:val="24"/>
          <w:szCs w:val="24"/>
          <w:highlight w:val="white"/>
        </w:rPr>
        <w:t xml:space="preserve"> to </w:t>
      </w:r>
      <w:proofErr w:type="spellStart"/>
      <w:r>
        <w:rPr>
          <w:rFonts w:ascii="Century Gothic" w:eastAsia="Century Gothic" w:hAnsi="Century Gothic" w:cs="Century Gothic"/>
          <w:sz w:val="24"/>
          <w:szCs w:val="24"/>
          <w:highlight w:val="white"/>
        </w:rPr>
        <w:t>recognise</w:t>
      </w:r>
      <w:proofErr w:type="spellEnd"/>
      <w:r>
        <w:rPr>
          <w:rFonts w:ascii="Century Gothic" w:eastAsia="Century Gothic" w:hAnsi="Century Gothic" w:cs="Century Gothic"/>
          <w:sz w:val="24"/>
          <w:szCs w:val="24"/>
          <w:highlight w:val="white"/>
        </w:rPr>
        <w:t xml:space="preserve"> the need for further research into testosterone therapy for women of all ages and the development and licensing of products formulated specifically for women. </w:t>
      </w:r>
      <w:r>
        <w:rPr>
          <w:rFonts w:ascii="Century Gothic" w:eastAsia="Century Gothic" w:hAnsi="Century Gothic" w:cs="Century Gothic"/>
          <w:sz w:val="24"/>
          <w:szCs w:val="24"/>
        </w:rPr>
        <w:t xml:space="preserve"> </w:t>
      </w:r>
    </w:p>
    <w:p w14:paraId="436B20AE" w14:textId="77777777" w:rsidR="00B2469B" w:rsidRDefault="00B2469B">
      <w:pPr>
        <w:rPr>
          <w:rFonts w:ascii="Century Gothic" w:eastAsia="Century Gothic" w:hAnsi="Century Gothic" w:cs="Century Gothic"/>
          <w:sz w:val="24"/>
          <w:szCs w:val="24"/>
          <w:highlight w:val="white"/>
        </w:rPr>
      </w:pPr>
    </w:p>
    <w:p w14:paraId="7FD180C2" w14:textId="77777777" w:rsidR="00B2469B" w:rsidRDefault="006516FA">
      <w:pPr>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 xml:space="preserve">The statement </w:t>
      </w:r>
      <w:r>
        <w:rPr>
          <w:rFonts w:ascii="Century Gothic" w:eastAsia="Century Gothic" w:hAnsi="Century Gothic" w:cs="Century Gothic"/>
          <w:sz w:val="24"/>
          <w:szCs w:val="24"/>
          <w:highlight w:val="white"/>
        </w:rPr>
        <w:t xml:space="preserve">was developed by </w:t>
      </w:r>
      <w:r>
        <w:rPr>
          <w:rFonts w:ascii="Century Gothic" w:eastAsia="Century Gothic" w:hAnsi="Century Gothic" w:cs="Century Gothic"/>
          <w:sz w:val="24"/>
          <w:szCs w:val="24"/>
        </w:rPr>
        <w:t xml:space="preserve">a multinational, multidisciplinary task force, the members of which were delegates from leading medical societies, and was </w:t>
      </w:r>
      <w:r>
        <w:rPr>
          <w:rFonts w:ascii="Century Gothic" w:eastAsia="Century Gothic" w:hAnsi="Century Gothic" w:cs="Century Gothic"/>
          <w:sz w:val="24"/>
          <w:szCs w:val="24"/>
        </w:rPr>
        <w:lastRenderedPageBreak/>
        <w:t xml:space="preserve">peer reviewed by expert committees of endorsing societies from across the world. It has been translated into </w:t>
      </w:r>
      <w:r>
        <w:rPr>
          <w:rFonts w:ascii="Century Gothic" w:eastAsia="Century Gothic" w:hAnsi="Century Gothic" w:cs="Century Gothic"/>
          <w:sz w:val="24"/>
          <w:szCs w:val="24"/>
          <w:highlight w:val="white"/>
        </w:rPr>
        <w:t xml:space="preserve">13 languages </w:t>
      </w:r>
      <w:r>
        <w:rPr>
          <w:rFonts w:ascii="Century Gothic" w:eastAsia="Century Gothic" w:hAnsi="Century Gothic" w:cs="Century Gothic"/>
          <w:sz w:val="24"/>
          <w:szCs w:val="24"/>
        </w:rPr>
        <w:t>and aims to improve the sexual wellbeing of women on a global scale.</w:t>
      </w:r>
    </w:p>
    <w:p w14:paraId="2345929B" w14:textId="77777777" w:rsidR="00B2469B" w:rsidRDefault="00B2469B">
      <w:pPr>
        <w:rPr>
          <w:rFonts w:ascii="Century Gothic" w:eastAsia="Century Gothic" w:hAnsi="Century Gothic" w:cs="Century Gothic"/>
          <w:sz w:val="24"/>
          <w:szCs w:val="24"/>
        </w:rPr>
      </w:pPr>
    </w:p>
    <w:p w14:paraId="16E980E6" w14:textId="77777777" w:rsidR="00B2469B" w:rsidRDefault="00B2469B">
      <w:pPr>
        <w:rPr>
          <w:rFonts w:ascii="Century Gothic" w:eastAsia="Century Gothic" w:hAnsi="Century Gothic" w:cs="Century Gothic"/>
        </w:rPr>
      </w:pPr>
    </w:p>
    <w:p w14:paraId="1702BB11" w14:textId="77777777" w:rsidR="00B2469B" w:rsidRDefault="006516FA">
      <w:pPr>
        <w:rPr>
          <w:rFonts w:ascii="Century Gothic" w:eastAsia="Century Gothic" w:hAnsi="Century Gothic" w:cs="Century Gothic"/>
          <w:b/>
          <w:i/>
          <w:highlight w:val="white"/>
        </w:rPr>
      </w:pPr>
      <w:r>
        <w:rPr>
          <w:rFonts w:ascii="Century Gothic" w:eastAsia="Century Gothic" w:hAnsi="Century Gothic" w:cs="Century Gothic"/>
          <w:b/>
          <w:i/>
          <w:highlight w:val="white"/>
        </w:rPr>
        <w:t>About the International Menopause Society</w:t>
      </w:r>
    </w:p>
    <w:p w14:paraId="5ECF47E7" w14:textId="77777777" w:rsidR="00B2469B" w:rsidRDefault="006516FA">
      <w:pPr>
        <w:rPr>
          <w:rFonts w:ascii="Century Gothic" w:eastAsia="Century Gothic" w:hAnsi="Century Gothic" w:cs="Century Gothic"/>
          <w:b/>
          <w:i/>
          <w:highlight w:val="white"/>
        </w:rPr>
      </w:pPr>
      <w:r>
        <w:rPr>
          <w:rFonts w:ascii="Century Gothic" w:eastAsia="Century Gothic" w:hAnsi="Century Gothic" w:cs="Century Gothic"/>
          <w:b/>
          <w:i/>
          <w:highlight w:val="white"/>
        </w:rPr>
        <w:t xml:space="preserve"> </w:t>
      </w:r>
    </w:p>
    <w:p w14:paraId="510642C2"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 xml:space="preserve">A Charitable Incorporated </w:t>
      </w:r>
      <w:proofErr w:type="spellStart"/>
      <w:r>
        <w:rPr>
          <w:rFonts w:ascii="Century Gothic" w:eastAsia="Century Gothic" w:hAnsi="Century Gothic" w:cs="Century Gothic"/>
          <w:i/>
          <w:highlight w:val="white"/>
        </w:rPr>
        <w:t>Organisation</w:t>
      </w:r>
      <w:proofErr w:type="spellEnd"/>
      <w:r>
        <w:rPr>
          <w:rFonts w:ascii="Century Gothic" w:eastAsia="Century Gothic" w:hAnsi="Century Gothic" w:cs="Century Gothic"/>
          <w:i/>
          <w:highlight w:val="white"/>
        </w:rPr>
        <w:t xml:space="preserve"> based in the UK, The International</w:t>
      </w:r>
    </w:p>
    <w:p w14:paraId="783BDE25"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Menopause Society (IMS) brings together the world’s leading experts to</w:t>
      </w:r>
    </w:p>
    <w:p w14:paraId="2BC63132"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collaboratively study and share knowledge about all aspects of aging in women.</w:t>
      </w:r>
    </w:p>
    <w:p w14:paraId="6D5A1976"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 xml:space="preserve">The IMS advocates evidence-based treatment options that </w:t>
      </w:r>
      <w:proofErr w:type="spellStart"/>
      <w:r>
        <w:rPr>
          <w:rFonts w:ascii="Century Gothic" w:eastAsia="Century Gothic" w:hAnsi="Century Gothic" w:cs="Century Gothic"/>
          <w:i/>
          <w:highlight w:val="white"/>
        </w:rPr>
        <w:t>optimise</w:t>
      </w:r>
      <w:proofErr w:type="spellEnd"/>
      <w:r>
        <w:rPr>
          <w:rFonts w:ascii="Century Gothic" w:eastAsia="Century Gothic" w:hAnsi="Century Gothic" w:cs="Century Gothic"/>
          <w:i/>
          <w:highlight w:val="white"/>
        </w:rPr>
        <w:t xml:space="preserve"> mid-life</w:t>
      </w:r>
    </w:p>
    <w:p w14:paraId="348FBCF4"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women’s health and promotes best practice in women’s health care to healthcare</w:t>
      </w:r>
    </w:p>
    <w:p w14:paraId="0950A480"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professionals and women across the globe.</w:t>
      </w:r>
    </w:p>
    <w:p w14:paraId="75C37D64" w14:textId="77777777" w:rsidR="00B2469B" w:rsidRDefault="00B2469B">
      <w:pPr>
        <w:rPr>
          <w:rFonts w:ascii="Century Gothic" w:eastAsia="Century Gothic" w:hAnsi="Century Gothic" w:cs="Century Gothic"/>
          <w:i/>
          <w:highlight w:val="white"/>
        </w:rPr>
      </w:pPr>
    </w:p>
    <w:p w14:paraId="67AE5CB0"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highlight w:val="white"/>
        </w:rPr>
        <w:t>IMS activities include:</w:t>
      </w:r>
    </w:p>
    <w:p w14:paraId="2726B36A" w14:textId="77777777" w:rsidR="00B2469B" w:rsidRDefault="00B2469B">
      <w:pPr>
        <w:rPr>
          <w:rFonts w:ascii="Century Gothic" w:eastAsia="Century Gothic" w:hAnsi="Century Gothic" w:cs="Century Gothic"/>
          <w:i/>
          <w:highlight w:val="white"/>
        </w:rPr>
      </w:pPr>
    </w:p>
    <w:p w14:paraId="12BDBD6E" w14:textId="77777777" w:rsidR="00B2469B" w:rsidRDefault="006516FA">
      <w:pPr>
        <w:numPr>
          <w:ilvl w:val="0"/>
          <w:numId w:val="2"/>
        </w:numPr>
        <w:rPr>
          <w:rFonts w:ascii="Century Gothic" w:eastAsia="Century Gothic" w:hAnsi="Century Gothic" w:cs="Century Gothic"/>
          <w:i/>
          <w:highlight w:val="white"/>
        </w:rPr>
      </w:pPr>
      <w:r>
        <w:rPr>
          <w:rFonts w:ascii="Century Gothic" w:eastAsia="Century Gothic" w:hAnsi="Century Gothic" w:cs="Century Gothic"/>
          <w:i/>
          <w:highlight w:val="white"/>
        </w:rPr>
        <w:t>building communities of practice through its membership and Council of</w:t>
      </w:r>
    </w:p>
    <w:p w14:paraId="1418E939" w14:textId="77777777" w:rsidR="00B2469B" w:rsidRDefault="006516FA">
      <w:pPr>
        <w:ind w:left="720"/>
        <w:rPr>
          <w:rFonts w:ascii="Century Gothic" w:eastAsia="Century Gothic" w:hAnsi="Century Gothic" w:cs="Century Gothic"/>
          <w:i/>
          <w:highlight w:val="white"/>
        </w:rPr>
      </w:pPr>
      <w:r>
        <w:rPr>
          <w:rFonts w:ascii="Century Gothic" w:eastAsia="Century Gothic" w:hAnsi="Century Gothic" w:cs="Century Gothic"/>
          <w:i/>
          <w:highlight w:val="white"/>
        </w:rPr>
        <w:t>Affiliated Societies;</w:t>
      </w:r>
    </w:p>
    <w:p w14:paraId="1AB7F565" w14:textId="77777777" w:rsidR="00B2469B" w:rsidRDefault="006516FA">
      <w:pPr>
        <w:numPr>
          <w:ilvl w:val="0"/>
          <w:numId w:val="2"/>
        </w:numPr>
        <w:rPr>
          <w:rFonts w:ascii="Century Gothic" w:eastAsia="Century Gothic" w:hAnsi="Century Gothic" w:cs="Century Gothic"/>
          <w:i/>
          <w:highlight w:val="white"/>
        </w:rPr>
      </w:pPr>
      <w:r>
        <w:rPr>
          <w:rFonts w:ascii="Century Gothic" w:eastAsia="Century Gothic" w:hAnsi="Century Gothic" w:cs="Century Gothic"/>
          <w:i/>
          <w:highlight w:val="white"/>
        </w:rPr>
        <w:t>publishing original research, reviews, statements and recommendations;</w:t>
      </w:r>
    </w:p>
    <w:p w14:paraId="1E4DD452" w14:textId="77777777" w:rsidR="00B2469B" w:rsidRDefault="006516FA">
      <w:pPr>
        <w:numPr>
          <w:ilvl w:val="0"/>
          <w:numId w:val="2"/>
        </w:numPr>
        <w:rPr>
          <w:rFonts w:ascii="Century Gothic" w:eastAsia="Century Gothic" w:hAnsi="Century Gothic" w:cs="Century Gothic"/>
          <w:i/>
          <w:highlight w:val="white"/>
        </w:rPr>
      </w:pPr>
      <w:r>
        <w:rPr>
          <w:rFonts w:ascii="Century Gothic" w:eastAsia="Century Gothic" w:hAnsi="Century Gothic" w:cs="Century Gothic"/>
          <w:i/>
          <w:highlight w:val="white"/>
        </w:rPr>
        <w:t>holding events to disseminate information including the bi-annual World</w:t>
      </w:r>
    </w:p>
    <w:p w14:paraId="2AD72335" w14:textId="77777777" w:rsidR="00B2469B" w:rsidRDefault="006516FA">
      <w:pPr>
        <w:ind w:left="720"/>
        <w:rPr>
          <w:rFonts w:ascii="Century Gothic" w:eastAsia="Century Gothic" w:hAnsi="Century Gothic" w:cs="Century Gothic"/>
          <w:i/>
          <w:highlight w:val="white"/>
        </w:rPr>
      </w:pPr>
      <w:r>
        <w:rPr>
          <w:rFonts w:ascii="Century Gothic" w:eastAsia="Century Gothic" w:hAnsi="Century Gothic" w:cs="Century Gothic"/>
          <w:i/>
          <w:highlight w:val="white"/>
        </w:rPr>
        <w:t>Congress on Menopause, symposia and workshops</w:t>
      </w:r>
    </w:p>
    <w:p w14:paraId="1A6E84CB" w14:textId="77777777" w:rsidR="00B2469B" w:rsidRDefault="006516FA">
      <w:pPr>
        <w:numPr>
          <w:ilvl w:val="0"/>
          <w:numId w:val="2"/>
        </w:numPr>
        <w:rPr>
          <w:rFonts w:ascii="Century Gothic" w:eastAsia="Century Gothic" w:hAnsi="Century Gothic" w:cs="Century Gothic"/>
          <w:i/>
          <w:highlight w:val="white"/>
        </w:rPr>
      </w:pPr>
      <w:r>
        <w:rPr>
          <w:rFonts w:ascii="Century Gothic" w:eastAsia="Century Gothic" w:hAnsi="Century Gothic" w:cs="Century Gothic"/>
          <w:i/>
          <w:highlight w:val="white"/>
        </w:rPr>
        <w:t>offering online practitioner training resources</w:t>
      </w:r>
    </w:p>
    <w:p w14:paraId="1CE91FBD" w14:textId="77777777" w:rsidR="00B2469B" w:rsidRDefault="006516FA">
      <w:pPr>
        <w:numPr>
          <w:ilvl w:val="0"/>
          <w:numId w:val="2"/>
        </w:numPr>
        <w:rPr>
          <w:rFonts w:ascii="Century Gothic" w:eastAsia="Century Gothic" w:hAnsi="Century Gothic" w:cs="Century Gothic"/>
          <w:i/>
          <w:highlight w:val="white"/>
        </w:rPr>
      </w:pPr>
      <w:r>
        <w:rPr>
          <w:rFonts w:ascii="Century Gothic" w:eastAsia="Century Gothic" w:hAnsi="Century Gothic" w:cs="Century Gothic"/>
          <w:i/>
          <w:highlight w:val="white"/>
        </w:rPr>
        <w:t>the annual World Menopause Day awareness raising campaign</w:t>
      </w:r>
    </w:p>
    <w:p w14:paraId="36734DC8" w14:textId="77777777" w:rsidR="00B2469B" w:rsidRDefault="002C2815">
      <w:pPr>
        <w:numPr>
          <w:ilvl w:val="0"/>
          <w:numId w:val="1"/>
        </w:numPr>
        <w:rPr>
          <w:rFonts w:ascii="Century Gothic" w:eastAsia="Century Gothic" w:hAnsi="Century Gothic" w:cs="Century Gothic"/>
          <w:i/>
        </w:rPr>
      </w:pPr>
      <w:hyperlink r:id="rId8">
        <w:r w:rsidR="006516FA">
          <w:rPr>
            <w:rFonts w:ascii="Century Gothic" w:eastAsia="Century Gothic" w:hAnsi="Century Gothic" w:cs="Century Gothic"/>
            <w:i/>
            <w:color w:val="1155CC"/>
            <w:u w:val="single"/>
          </w:rPr>
          <w:t>www.imsociety.org</w:t>
        </w:r>
      </w:hyperlink>
      <w:r w:rsidR="006516FA">
        <w:rPr>
          <w:rFonts w:ascii="Century Gothic" w:eastAsia="Century Gothic" w:hAnsi="Century Gothic" w:cs="Century Gothic"/>
          <w:i/>
        </w:rPr>
        <w:t xml:space="preserve"> </w:t>
      </w:r>
    </w:p>
    <w:p w14:paraId="007BCD5F" w14:textId="77777777" w:rsidR="00B2469B" w:rsidRDefault="00B2469B">
      <w:pPr>
        <w:rPr>
          <w:rFonts w:ascii="Century Gothic" w:eastAsia="Century Gothic" w:hAnsi="Century Gothic" w:cs="Century Gothic"/>
          <w:b/>
          <w:i/>
          <w:highlight w:val="white"/>
        </w:rPr>
      </w:pPr>
    </w:p>
    <w:p w14:paraId="28827594"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b/>
          <w:i/>
          <w:highlight w:val="white"/>
        </w:rPr>
        <w:t>About the</w:t>
      </w:r>
      <w:r>
        <w:rPr>
          <w:rFonts w:ascii="Century Gothic" w:eastAsia="Century Gothic" w:hAnsi="Century Gothic" w:cs="Century Gothic"/>
          <w:i/>
          <w:highlight w:val="white"/>
        </w:rPr>
        <w:t xml:space="preserve"> </w:t>
      </w:r>
      <w:r>
        <w:rPr>
          <w:rFonts w:ascii="Century Gothic" w:eastAsia="Century Gothic" w:hAnsi="Century Gothic" w:cs="Century Gothic"/>
          <w:b/>
          <w:i/>
        </w:rPr>
        <w:t>Global Position Statement on testosterone treatment for women</w:t>
      </w:r>
    </w:p>
    <w:p w14:paraId="2FE56DDC" w14:textId="77777777" w:rsidR="00B2469B" w:rsidRDefault="00B2469B">
      <w:pPr>
        <w:rPr>
          <w:rFonts w:ascii="Century Gothic" w:eastAsia="Century Gothic" w:hAnsi="Century Gothic" w:cs="Century Gothic"/>
          <w:i/>
        </w:rPr>
      </w:pPr>
    </w:p>
    <w:p w14:paraId="0FB44DA8" w14:textId="77777777" w:rsidR="00B2469B" w:rsidRDefault="006516FA">
      <w:pPr>
        <w:numPr>
          <w:ilvl w:val="0"/>
          <w:numId w:val="3"/>
        </w:numPr>
        <w:rPr>
          <w:rFonts w:ascii="Century Gothic" w:eastAsia="Century Gothic" w:hAnsi="Century Gothic" w:cs="Century Gothic"/>
          <w:i/>
        </w:rPr>
      </w:pPr>
      <w:r>
        <w:rPr>
          <w:rFonts w:ascii="Century Gothic" w:eastAsia="Century Gothic" w:hAnsi="Century Gothic" w:cs="Century Gothic"/>
          <w:i/>
        </w:rPr>
        <w:t>The Global Position Statement was developed to inform health care professionals of the known benefits and potential risks of testosterone therapy for women. The aims were to provide clear guidance as to which women might benefit from testosterone therapy; identify symptoms, signs, and conditions for which evidence does not support the prescribing of testosterone; explore areas of uncertainty; and to identify any prescribing practices that have the potential to cause harm.</w:t>
      </w:r>
    </w:p>
    <w:p w14:paraId="1313CEC2" w14:textId="77777777" w:rsidR="00B2469B" w:rsidRDefault="00B2469B">
      <w:pPr>
        <w:rPr>
          <w:rFonts w:ascii="Century Gothic" w:eastAsia="Century Gothic" w:hAnsi="Century Gothic" w:cs="Century Gothic"/>
          <w:i/>
        </w:rPr>
      </w:pPr>
    </w:p>
    <w:p w14:paraId="79EFA474" w14:textId="77777777" w:rsidR="00B2469B" w:rsidRDefault="006516FA">
      <w:pPr>
        <w:rPr>
          <w:rFonts w:ascii="Century Gothic" w:eastAsia="Century Gothic" w:hAnsi="Century Gothic" w:cs="Century Gothic"/>
          <w:i/>
          <w:highlight w:val="white"/>
        </w:rPr>
      </w:pPr>
      <w:r>
        <w:rPr>
          <w:rFonts w:ascii="Century Gothic" w:eastAsia="Century Gothic" w:hAnsi="Century Gothic" w:cs="Century Gothic"/>
          <w:i/>
        </w:rPr>
        <w:t xml:space="preserve">The panel </w:t>
      </w:r>
      <w:r>
        <w:rPr>
          <w:rFonts w:ascii="Century Gothic" w:eastAsia="Century Gothic" w:hAnsi="Century Gothic" w:cs="Century Gothic"/>
          <w:i/>
          <w:highlight w:val="white"/>
        </w:rPr>
        <w:t>concluded that:</w:t>
      </w:r>
    </w:p>
    <w:p w14:paraId="7984F2A1" w14:textId="77777777" w:rsidR="00B2469B" w:rsidRDefault="00B2469B">
      <w:pPr>
        <w:rPr>
          <w:rFonts w:ascii="Century Gothic" w:eastAsia="Century Gothic" w:hAnsi="Century Gothic" w:cs="Century Gothic"/>
          <w:i/>
          <w:highlight w:val="white"/>
        </w:rPr>
      </w:pPr>
    </w:p>
    <w:p w14:paraId="7C5D1614" w14:textId="06AE602C"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 xml:space="preserve">a testosterone blood level should not be used to diagnose HSDD. </w:t>
      </w:r>
      <w:r>
        <w:rPr>
          <w:rFonts w:ascii="Century Gothic" w:eastAsia="Century Gothic" w:hAnsi="Century Gothic" w:cs="Century Gothic"/>
          <w:i/>
          <w:color w:val="222222"/>
          <w:highlight w:val="white"/>
        </w:rPr>
        <w:t xml:space="preserve">HSDD should be diagnosed following a careful medical assessment that elicits lowered sexual desire with associated personal distress and no other treatable cause.  </w:t>
      </w:r>
    </w:p>
    <w:p w14:paraId="1A24E665"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lastRenderedPageBreak/>
        <w:t xml:space="preserve">there is only evidence for beneficial effects of testosterone therapy in postmenopausal women, and specifically those suffering with HSDD </w:t>
      </w:r>
    </w:p>
    <w:p w14:paraId="14A75E2D"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there is insufficient data to support the use of testosterone for the treatment of any other symptom or clinical condition or for disease prevention</w:t>
      </w:r>
    </w:p>
    <w:p w14:paraId="73D4A1A3"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testosterone treatment should only be with formulations that achieve blood concentrations of testosterone that approximate what is normal for premenopausal women</w:t>
      </w:r>
    </w:p>
    <w:p w14:paraId="3F49DA62"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although treatment of postmenopausal women with doses that result in blood levels seen in premenopausal women was associated with mild increases in acne and body/facial hair in some women, it was not associated with scalp hair loss or voice change</w:t>
      </w:r>
    </w:p>
    <w:p w14:paraId="0F4BB84C"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 xml:space="preserve">as no approved testosterone for women is presently approved by any national regulatory body, male formulations can be used judiciously in small doses with blood testosterone concentrations monitored regularly </w:t>
      </w:r>
    </w:p>
    <w:p w14:paraId="66E9F527"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highlight w:val="white"/>
        </w:rPr>
        <w:t>compounded testosterone should not be used if a regulatory approved product is available</w:t>
      </w:r>
    </w:p>
    <w:p w14:paraId="386EC630" w14:textId="77777777" w:rsidR="00B2469B" w:rsidRDefault="006516FA">
      <w:pPr>
        <w:numPr>
          <w:ilvl w:val="0"/>
          <w:numId w:val="4"/>
        </w:numPr>
        <w:rPr>
          <w:rFonts w:ascii="Century Gothic" w:eastAsia="Century Gothic" w:hAnsi="Century Gothic" w:cs="Century Gothic"/>
          <w:i/>
          <w:highlight w:val="white"/>
        </w:rPr>
      </w:pPr>
      <w:r>
        <w:rPr>
          <w:rFonts w:ascii="Century Gothic" w:eastAsia="Century Gothic" w:hAnsi="Century Gothic" w:cs="Century Gothic"/>
          <w:i/>
        </w:rPr>
        <w:t>larger studies are needed to inform clinical recommendations regarding the use of testosterone for HSDD in premenopausal women</w:t>
      </w:r>
    </w:p>
    <w:p w14:paraId="0CB6044B" w14:textId="77777777" w:rsidR="00B2469B" w:rsidRDefault="006516FA">
      <w:pPr>
        <w:numPr>
          <w:ilvl w:val="0"/>
          <w:numId w:val="4"/>
        </w:numPr>
        <w:rPr>
          <w:rFonts w:ascii="Century Gothic" w:eastAsia="Century Gothic" w:hAnsi="Century Gothic" w:cs="Century Gothic"/>
          <w:i/>
        </w:rPr>
      </w:pPr>
      <w:r>
        <w:rPr>
          <w:rFonts w:ascii="Century Gothic" w:eastAsia="Century Gothic" w:hAnsi="Century Gothic" w:cs="Century Gothic"/>
          <w:i/>
        </w:rPr>
        <w:t>studies must be undertaken to establish the longer-term cardiometabolic and breast safety of testosterone therapy for women.</w:t>
      </w:r>
    </w:p>
    <w:p w14:paraId="3DCF7774" w14:textId="77777777" w:rsidR="00B2469B" w:rsidRDefault="00B2469B">
      <w:pPr>
        <w:rPr>
          <w:rFonts w:ascii="Century Gothic" w:eastAsia="Century Gothic" w:hAnsi="Century Gothic" w:cs="Century Gothic"/>
          <w:i/>
        </w:rPr>
      </w:pPr>
    </w:p>
    <w:p w14:paraId="5B267E8C" w14:textId="77777777" w:rsidR="00B2469B" w:rsidRDefault="00B2469B">
      <w:pPr>
        <w:rPr>
          <w:rFonts w:ascii="Century Gothic" w:eastAsia="Century Gothic" w:hAnsi="Century Gothic" w:cs="Century Gothic"/>
          <w:i/>
        </w:rPr>
      </w:pPr>
    </w:p>
    <w:p w14:paraId="6ED19FCA" w14:textId="77777777" w:rsidR="00B2469B" w:rsidRDefault="006516FA">
      <w:pPr>
        <w:numPr>
          <w:ilvl w:val="0"/>
          <w:numId w:val="3"/>
        </w:numPr>
        <w:rPr>
          <w:rFonts w:ascii="Century Gothic" w:eastAsia="Century Gothic" w:hAnsi="Century Gothic" w:cs="Century Gothic"/>
          <w:i/>
          <w:highlight w:val="white"/>
        </w:rPr>
      </w:pPr>
      <w:r>
        <w:rPr>
          <w:rFonts w:ascii="Century Gothic" w:eastAsia="Century Gothic" w:hAnsi="Century Gothic" w:cs="Century Gothic"/>
          <w:i/>
        </w:rPr>
        <w:t xml:space="preserve">The advice was developed by nine leading medical </w:t>
      </w:r>
      <w:proofErr w:type="spellStart"/>
      <w:r>
        <w:rPr>
          <w:rFonts w:ascii="Century Gothic" w:eastAsia="Century Gothic" w:hAnsi="Century Gothic" w:cs="Century Gothic"/>
          <w:i/>
        </w:rPr>
        <w:t>organisations</w:t>
      </w:r>
      <w:proofErr w:type="spellEnd"/>
      <w:r>
        <w:rPr>
          <w:rFonts w:ascii="Century Gothic" w:eastAsia="Century Gothic" w:hAnsi="Century Gothic" w:cs="Century Gothic"/>
          <w:i/>
        </w:rPr>
        <w:t xml:space="preserve"> including The International Menopause Society, The International Society for Sexual Medicine, The </w:t>
      </w:r>
      <w:proofErr w:type="spellStart"/>
      <w:r>
        <w:rPr>
          <w:rFonts w:ascii="Century Gothic" w:eastAsia="Century Gothic" w:hAnsi="Century Gothic" w:cs="Century Gothic"/>
          <w:i/>
        </w:rPr>
        <w:t>Federacion</w:t>
      </w:r>
      <w:proofErr w:type="spellEnd"/>
      <w:r>
        <w:rPr>
          <w:rFonts w:ascii="Century Gothic" w:eastAsia="Century Gothic" w:hAnsi="Century Gothic" w:cs="Century Gothic"/>
          <w:i/>
        </w:rPr>
        <w:t xml:space="preserve"> </w:t>
      </w:r>
      <w:proofErr w:type="spellStart"/>
      <w:r>
        <w:rPr>
          <w:rFonts w:ascii="Century Gothic" w:eastAsia="Century Gothic" w:hAnsi="Century Gothic" w:cs="Century Gothic"/>
          <w:i/>
        </w:rPr>
        <w:t>Latinoamericana</w:t>
      </w:r>
      <w:proofErr w:type="spellEnd"/>
      <w:r>
        <w:rPr>
          <w:rFonts w:ascii="Century Gothic" w:eastAsia="Century Gothic" w:hAnsi="Century Gothic" w:cs="Century Gothic"/>
          <w:i/>
        </w:rPr>
        <w:t xml:space="preserve"> de </w:t>
      </w:r>
      <w:proofErr w:type="spellStart"/>
      <w:r>
        <w:rPr>
          <w:rFonts w:ascii="Century Gothic" w:eastAsia="Century Gothic" w:hAnsi="Century Gothic" w:cs="Century Gothic"/>
          <w:i/>
        </w:rPr>
        <w:t>Sociedades</w:t>
      </w:r>
      <w:proofErr w:type="spellEnd"/>
      <w:r>
        <w:rPr>
          <w:rFonts w:ascii="Century Gothic" w:eastAsia="Century Gothic" w:hAnsi="Century Gothic" w:cs="Century Gothic"/>
          <w:i/>
        </w:rPr>
        <w:t xml:space="preserve"> de </w:t>
      </w:r>
      <w:proofErr w:type="spellStart"/>
      <w:r>
        <w:rPr>
          <w:rFonts w:ascii="Century Gothic" w:eastAsia="Century Gothic" w:hAnsi="Century Gothic" w:cs="Century Gothic"/>
          <w:i/>
        </w:rPr>
        <w:t>Climaterio</w:t>
      </w:r>
      <w:proofErr w:type="spellEnd"/>
      <w:r>
        <w:rPr>
          <w:rFonts w:ascii="Century Gothic" w:eastAsia="Century Gothic" w:hAnsi="Century Gothic" w:cs="Century Gothic"/>
          <w:i/>
        </w:rPr>
        <w:t xml:space="preserve"> y </w:t>
      </w:r>
      <w:proofErr w:type="spellStart"/>
      <w:r>
        <w:rPr>
          <w:rFonts w:ascii="Century Gothic" w:eastAsia="Century Gothic" w:hAnsi="Century Gothic" w:cs="Century Gothic"/>
          <w:i/>
        </w:rPr>
        <w:t>Menopausia</w:t>
      </w:r>
      <w:proofErr w:type="spellEnd"/>
      <w:r>
        <w:rPr>
          <w:rFonts w:ascii="Century Gothic" w:eastAsia="Century Gothic" w:hAnsi="Century Gothic" w:cs="Century Gothic"/>
          <w:i/>
        </w:rPr>
        <w:t xml:space="preserve">, The American College of Obstetricians and Gynecologists, The North American Menopause Society, The European Menopause and Andropause Society, The International Society for the Study of Women’s Sexual Health, The Royal College of Obstetricians and </w:t>
      </w:r>
      <w:proofErr w:type="spellStart"/>
      <w:r>
        <w:rPr>
          <w:rFonts w:ascii="Century Gothic" w:eastAsia="Century Gothic" w:hAnsi="Century Gothic" w:cs="Century Gothic"/>
          <w:i/>
        </w:rPr>
        <w:t>Gynaecologists</w:t>
      </w:r>
      <w:proofErr w:type="spellEnd"/>
      <w:r>
        <w:rPr>
          <w:rFonts w:ascii="Century Gothic" w:eastAsia="Century Gothic" w:hAnsi="Century Gothic" w:cs="Century Gothic"/>
          <w:i/>
        </w:rPr>
        <w:t>, and The Endocrine Society, and endorsed by several additional Societies.</w:t>
      </w:r>
    </w:p>
    <w:p w14:paraId="7AEC0DE7" w14:textId="77777777" w:rsidR="00B2469B" w:rsidRDefault="006516FA">
      <w:pPr>
        <w:numPr>
          <w:ilvl w:val="0"/>
          <w:numId w:val="3"/>
        </w:numPr>
        <w:rPr>
          <w:rFonts w:ascii="Century Gothic" w:eastAsia="Century Gothic" w:hAnsi="Century Gothic" w:cs="Century Gothic"/>
          <w:i/>
        </w:rPr>
      </w:pPr>
      <w:r>
        <w:rPr>
          <w:rFonts w:ascii="Century Gothic" w:eastAsia="Century Gothic" w:hAnsi="Century Gothic" w:cs="Century Gothic"/>
          <w:i/>
        </w:rPr>
        <w:t xml:space="preserve">It was published on 2 September 2019 </w:t>
      </w:r>
      <w:r>
        <w:rPr>
          <w:rFonts w:ascii="Century Gothic" w:eastAsia="Century Gothic" w:hAnsi="Century Gothic" w:cs="Century Gothic"/>
          <w:i/>
          <w:highlight w:val="white"/>
        </w:rPr>
        <w:t xml:space="preserve">in four leading international medical </w:t>
      </w:r>
      <w:r>
        <w:rPr>
          <w:rFonts w:ascii="Century Gothic" w:eastAsia="Century Gothic" w:hAnsi="Century Gothic" w:cs="Century Gothic"/>
          <w:i/>
        </w:rPr>
        <w:t xml:space="preserve">journals: Climacteric, </w:t>
      </w:r>
      <w:proofErr w:type="spellStart"/>
      <w:r>
        <w:rPr>
          <w:rFonts w:ascii="Century Gothic" w:eastAsia="Century Gothic" w:hAnsi="Century Gothic" w:cs="Century Gothic"/>
          <w:i/>
        </w:rPr>
        <w:t>Maturitas</w:t>
      </w:r>
      <w:proofErr w:type="spellEnd"/>
      <w:r>
        <w:rPr>
          <w:rFonts w:ascii="Century Gothic" w:eastAsia="Century Gothic" w:hAnsi="Century Gothic" w:cs="Century Gothic"/>
          <w:i/>
        </w:rPr>
        <w:t>, The Journal of Sexual Medicine, and The Journal of Clinical Endocrinology and Metabolism.</w:t>
      </w:r>
    </w:p>
    <w:p w14:paraId="4CDE4B22" w14:textId="77777777" w:rsidR="00B2469B" w:rsidRDefault="006516FA">
      <w:pPr>
        <w:numPr>
          <w:ilvl w:val="0"/>
          <w:numId w:val="3"/>
        </w:numPr>
        <w:rPr>
          <w:rFonts w:ascii="Century Gothic" w:eastAsia="Century Gothic" w:hAnsi="Century Gothic" w:cs="Century Gothic"/>
          <w:i/>
        </w:rPr>
      </w:pPr>
      <w:r>
        <w:rPr>
          <w:rFonts w:ascii="Century Gothic" w:eastAsia="Century Gothic" w:hAnsi="Century Gothic" w:cs="Century Gothic"/>
          <w:i/>
        </w:rPr>
        <w:t xml:space="preserve">The Global Position Statement is based on the </w:t>
      </w:r>
      <w:proofErr w:type="gramStart"/>
      <w:r>
        <w:rPr>
          <w:rFonts w:ascii="Century Gothic" w:eastAsia="Century Gothic" w:hAnsi="Century Gothic" w:cs="Century Gothic"/>
          <w:i/>
        </w:rPr>
        <w:t>world wide</w:t>
      </w:r>
      <w:proofErr w:type="gramEnd"/>
      <w:r>
        <w:rPr>
          <w:rFonts w:ascii="Century Gothic" w:eastAsia="Century Gothic" w:hAnsi="Century Gothic" w:cs="Century Gothic"/>
          <w:i/>
        </w:rPr>
        <w:t xml:space="preserve"> published literature in this field, including a recent systematic review and meta-analysis of clinical trials of testosterone therapy in women published in the Lancet Diabetes and Endocrinology on 25th July 2019, and where data were not available, on expert opinion of international leaders in this field.</w:t>
      </w:r>
    </w:p>
    <w:p w14:paraId="06F526B4" w14:textId="77777777" w:rsidR="00B2469B" w:rsidRDefault="006516FA">
      <w:pPr>
        <w:numPr>
          <w:ilvl w:val="0"/>
          <w:numId w:val="3"/>
        </w:numPr>
        <w:rPr>
          <w:rFonts w:ascii="Century Gothic" w:eastAsia="Century Gothic" w:hAnsi="Century Gothic" w:cs="Century Gothic"/>
          <w:i/>
        </w:rPr>
      </w:pPr>
      <w:r>
        <w:rPr>
          <w:rFonts w:ascii="Century Gothic" w:eastAsia="Century Gothic" w:hAnsi="Century Gothic" w:cs="Century Gothic"/>
          <w:i/>
        </w:rPr>
        <w:t>There are no clearly established indications for testosterone therapy for women prior to the publication of the consensus statement.</w:t>
      </w:r>
    </w:p>
    <w:p w14:paraId="05DA8895" w14:textId="77777777" w:rsidR="00B2469B" w:rsidRDefault="006516FA">
      <w:pPr>
        <w:numPr>
          <w:ilvl w:val="0"/>
          <w:numId w:val="3"/>
        </w:numPr>
        <w:rPr>
          <w:rFonts w:ascii="Century Gothic" w:eastAsia="Century Gothic" w:hAnsi="Century Gothic" w:cs="Century Gothic"/>
          <w:i/>
        </w:rPr>
      </w:pPr>
      <w:r>
        <w:rPr>
          <w:rFonts w:ascii="Century Gothic" w:eastAsia="Century Gothic" w:hAnsi="Century Gothic" w:cs="Century Gothic"/>
          <w:i/>
        </w:rPr>
        <w:lastRenderedPageBreak/>
        <w:t>There was no external funding for this process which was entirely supported by grants from the participating societies.</w:t>
      </w:r>
    </w:p>
    <w:p w14:paraId="2BB670A8" w14:textId="77777777" w:rsidR="00B2469B" w:rsidRDefault="006516FA">
      <w:pPr>
        <w:numPr>
          <w:ilvl w:val="0"/>
          <w:numId w:val="3"/>
        </w:numPr>
        <w:rPr>
          <w:rFonts w:ascii="Century Gothic" w:eastAsia="Century Gothic" w:hAnsi="Century Gothic" w:cs="Century Gothic"/>
          <w:i/>
          <w:highlight w:val="white"/>
        </w:rPr>
      </w:pPr>
      <w:r>
        <w:rPr>
          <w:rFonts w:ascii="Century Gothic" w:eastAsia="Century Gothic" w:hAnsi="Century Gothic" w:cs="Century Gothic"/>
          <w:i/>
        </w:rPr>
        <w:t xml:space="preserve">Translated versions of the Global Position Statement are available on the International Menopause Society website: </w:t>
      </w:r>
      <w:hyperlink r:id="rId9">
        <w:r>
          <w:rPr>
            <w:rFonts w:ascii="Century Gothic" w:eastAsia="Century Gothic" w:hAnsi="Century Gothic" w:cs="Century Gothic"/>
            <w:i/>
            <w:color w:val="1155CC"/>
            <w:u w:val="single"/>
          </w:rPr>
          <w:t>https://www.imsociety.org/position_papers_and_consensus_statements.php</w:t>
        </w:r>
      </w:hyperlink>
      <w:r>
        <w:rPr>
          <w:rFonts w:ascii="Century Gothic" w:eastAsia="Century Gothic" w:hAnsi="Century Gothic" w:cs="Century Gothic"/>
          <w:i/>
        </w:rPr>
        <w:t xml:space="preserve"> </w:t>
      </w:r>
    </w:p>
    <w:p w14:paraId="110C9D2C" w14:textId="77777777" w:rsidR="00B2469B" w:rsidRDefault="006516FA">
      <w:pPr>
        <w:numPr>
          <w:ilvl w:val="0"/>
          <w:numId w:val="3"/>
        </w:numPr>
        <w:rPr>
          <w:rFonts w:ascii="Century Gothic" w:eastAsia="Century Gothic" w:hAnsi="Century Gothic" w:cs="Century Gothic"/>
          <w:i/>
          <w:highlight w:val="white"/>
        </w:rPr>
      </w:pPr>
      <w:r>
        <w:rPr>
          <w:rFonts w:ascii="Century Gothic" w:eastAsia="Century Gothic" w:hAnsi="Century Gothic" w:cs="Century Gothic"/>
          <w:i/>
        </w:rPr>
        <w:t xml:space="preserve">Visit </w:t>
      </w:r>
      <w:hyperlink r:id="rId10">
        <w:r>
          <w:rPr>
            <w:rFonts w:ascii="Century Gothic" w:eastAsia="Century Gothic" w:hAnsi="Century Gothic" w:cs="Century Gothic"/>
            <w:i/>
            <w:color w:val="1155CC"/>
            <w:u w:val="single"/>
          </w:rPr>
          <w:t>www.imsociety.org</w:t>
        </w:r>
      </w:hyperlink>
      <w:r>
        <w:rPr>
          <w:rFonts w:ascii="Century Gothic" w:eastAsia="Century Gothic" w:hAnsi="Century Gothic" w:cs="Century Gothic"/>
          <w:i/>
        </w:rPr>
        <w:t xml:space="preserve"> to find out more.</w:t>
      </w:r>
    </w:p>
    <w:sectPr w:rsidR="00B2469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43F7" w14:textId="77777777" w:rsidR="006516FA" w:rsidRDefault="006516FA">
      <w:pPr>
        <w:spacing w:line="240" w:lineRule="auto"/>
      </w:pPr>
      <w:r>
        <w:separator/>
      </w:r>
    </w:p>
  </w:endnote>
  <w:endnote w:type="continuationSeparator" w:id="0">
    <w:p w14:paraId="769C5A7A" w14:textId="77777777" w:rsidR="006516FA" w:rsidRDefault="00651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C071" w14:textId="77777777" w:rsidR="006516FA" w:rsidRDefault="006516FA">
      <w:pPr>
        <w:spacing w:line="240" w:lineRule="auto"/>
      </w:pPr>
      <w:r>
        <w:separator/>
      </w:r>
    </w:p>
  </w:footnote>
  <w:footnote w:type="continuationSeparator" w:id="0">
    <w:p w14:paraId="2137BB86" w14:textId="77777777" w:rsidR="006516FA" w:rsidRDefault="006516FA">
      <w:pPr>
        <w:spacing w:line="240" w:lineRule="auto"/>
      </w:pPr>
      <w:r>
        <w:continuationSeparator/>
      </w:r>
    </w:p>
  </w:footnote>
  <w:footnote w:id="1">
    <w:p w14:paraId="7A199FFA" w14:textId="77777777" w:rsidR="00B2469B" w:rsidRDefault="006516FA">
      <w:pPr>
        <w:spacing w:line="240" w:lineRule="auto"/>
        <w:rPr>
          <w:sz w:val="20"/>
          <w:szCs w:val="20"/>
          <w:highlight w:val="yellow"/>
        </w:rPr>
      </w:pPr>
      <w:r>
        <w:rPr>
          <w:vertAlign w:val="superscript"/>
        </w:rPr>
        <w:footnoteRef/>
      </w:r>
      <w:r>
        <w:rPr>
          <w:sz w:val="20"/>
          <w:szCs w:val="20"/>
        </w:rPr>
        <w:t xml:space="preserve"> </w:t>
      </w:r>
      <w:proofErr w:type="spellStart"/>
      <w:r>
        <w:rPr>
          <w:rFonts w:ascii="Century Gothic" w:eastAsia="Century Gothic" w:hAnsi="Century Gothic" w:cs="Century Gothic"/>
        </w:rPr>
        <w:t>Worsley</w:t>
      </w:r>
      <w:proofErr w:type="spellEnd"/>
      <w:r>
        <w:rPr>
          <w:rFonts w:ascii="Century Gothic" w:eastAsia="Century Gothic" w:hAnsi="Century Gothic" w:cs="Century Gothic"/>
        </w:rPr>
        <w:t xml:space="preserve"> R et al J Sex Med </w:t>
      </w:r>
      <w:proofErr w:type="gramStart"/>
      <w:r>
        <w:rPr>
          <w:rFonts w:ascii="Century Gothic" w:eastAsia="Century Gothic" w:hAnsi="Century Gothic" w:cs="Century Gothic"/>
        </w:rPr>
        <w:t>2017;14:675</w:t>
      </w:r>
      <w:proofErr w:type="gramEnd"/>
      <w:r>
        <w:rPr>
          <w:rFonts w:ascii="Century Gothic" w:eastAsia="Century Gothic" w:hAnsi="Century Gothic" w:cs="Century Gothic"/>
        </w:rPr>
        <w:t>-686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2CD6"/>
    <w:multiLevelType w:val="multilevel"/>
    <w:tmpl w:val="AF42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E4B83"/>
    <w:multiLevelType w:val="multilevel"/>
    <w:tmpl w:val="5906C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9361DB"/>
    <w:multiLevelType w:val="multilevel"/>
    <w:tmpl w:val="AB0E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F600E"/>
    <w:multiLevelType w:val="multilevel"/>
    <w:tmpl w:val="A01C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9B"/>
    <w:rsid w:val="002C2815"/>
    <w:rsid w:val="006516FA"/>
    <w:rsid w:val="00B2469B"/>
    <w:rsid w:val="00CC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72C5"/>
  <w15:docId w15:val="{2FE9568A-03AC-44F0-ABBD-5CA1545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C28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msociety.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msociety.org" TargetMode="External"/><Relationship Id="rId4" Type="http://schemas.openxmlformats.org/officeDocument/2006/relationships/webSettings" Target="webSettings.xml"/><Relationship Id="rId9" Type="http://schemas.openxmlformats.org/officeDocument/2006/relationships/hyperlink" Target="https://www.imsociety.org/position_papers_and_consensus_statem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Cheshire</dc:creator>
  <cp:lastModifiedBy>Steve Beck</cp:lastModifiedBy>
  <cp:revision>2</cp:revision>
  <dcterms:created xsi:type="dcterms:W3CDTF">2019-08-29T13:18:00Z</dcterms:created>
  <dcterms:modified xsi:type="dcterms:W3CDTF">2019-08-29T13:18:00Z</dcterms:modified>
</cp:coreProperties>
</file>