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Jost" w:cs="Jost" w:eastAsia="Jost" w:hAnsi="Jost"/>
          <w:color w:val="4D5732"/>
          <w:spacing w:val="60"/>
          <w:sz w:val="17"/>
          <w:szCs w:val="17"/>
        </w:rPr>
        <w:t xml:space="preserve">SEVEN RIVERS WELLNESS</w:t>
      </w:r>
    </w:p>
    <w:p>
      <w:pPr>
        <w:spacing w:after="100"/>
      </w:pPr>
      <w:r>
        <w:rPr>
          <w:rFonts w:ascii="Cormorant Garamond" w:cs="Cormorant Garamond" w:eastAsia="Cormorant Garamond" w:hAnsi="Cormorant Garamond"/>
          <w:b/>
          <w:bCs/>
          <w:i/>
          <w:iCs/>
          <w:color w:val="3E4431"/>
          <w:sz w:val="50"/>
          <w:szCs w:val="50"/>
        </w:rPr>
        <w:t xml:space="preserve">1-to-1 Coaching Terms and Conditions</w:t>
      </w:r>
    </w:p>
    <w:p>
      <w:pPr>
        <w:pBdr>
          <w:bottom w:val="single" w:color="4D5732" w:sz="6" w:space="8"/>
        </w:pBdr>
        <w:spacing w:after="240"/>
      </w:pPr>
      <w:r>
        <w:rPr>
          <w:rFonts w:ascii="Jost" w:cs="Jost" w:eastAsia="Jost" w:hAnsi="Jost"/>
          <w:color w:val="4D5732"/>
          <w:sz w:val="20"/>
          <w:szCs w:val="20"/>
        </w:rPr>
        <w:t xml:space="preserve">Version 2.3. Effective from the date of publication. Please read these before enrolling. They set out what you receive, what it costs, and what each of us is agreeing to.</w:t>
      </w:r>
    </w:p>
    <w:p>
      <w:pPr>
        <w:pStyle w:val="Heading1"/>
        <w:spacing w:after="140" w:before="380"/>
      </w:pPr>
      <w:r>
        <w:rPr>
          <w:rFonts w:ascii="Cormorant Garamond" w:cs="Cormorant Garamond" w:eastAsia="Cormorant Garamond" w:hAnsi="Cormorant Garamond"/>
          <w:b/>
          <w:bCs/>
          <w:i/>
          <w:iCs/>
          <w:color w:val="3E4431"/>
          <w:sz w:val="38"/>
          <w:szCs w:val="38"/>
        </w:rPr>
        <w:t xml:space="preserve">1. Who we are</w:t>
      </w:r>
    </w:p>
    <w:p>
      <w:pPr>
        <w:spacing w:after="150" w:line="300"/>
      </w:pPr>
      <w:r>
        <w:rPr>
          <w:rFonts w:ascii="Jost" w:cs="Jost" w:eastAsia="Jost" w:hAnsi="Jost"/>
          <w:b w:val="false"/>
          <w:bCs w:val="false"/>
          <w:i w:val="false"/>
          <w:iCs w:val="false"/>
          <w:color w:val="3E4431"/>
          <w:sz w:val="21"/>
          <w:szCs w:val="21"/>
        </w:rPr>
        <w:t xml:space="preserve">Seven Rivers Wellness is a partnership between Matt Dunham and Sandra Dunham, of Kylebrack, Loughrea, Co. Galway, Republic of Ireland.</w:t>
      </w:r>
    </w:p>
    <w:p>
      <w:pPr>
        <w:spacing w:after="150" w:line="300"/>
      </w:pPr>
      <w:r>
        <w:rPr>
          <w:rFonts w:ascii="Jost" w:cs="Jost" w:eastAsia="Jost" w:hAnsi="Jost"/>
          <w:b w:val="false"/>
          <w:bCs w:val="false"/>
          <w:i w:val="false"/>
          <w:iCs w:val="false"/>
          <w:color w:val="3E4431"/>
          <w:sz w:val="21"/>
          <w:szCs w:val="21"/>
        </w:rPr>
        <w:t xml:space="preserve">You can reach us at info@sevenrivers-wellness.com. That address is the correct one for everything: questions, notices, cancellations, data requests, and complaints.</w:t>
      </w:r>
    </w:p>
    <w:p>
      <w:pPr>
        <w:pStyle w:val="Heading1"/>
        <w:spacing w:after="140" w:before="380"/>
      </w:pPr>
      <w:r>
        <w:rPr>
          <w:rFonts w:ascii="Cormorant Garamond" w:cs="Cormorant Garamond" w:eastAsia="Cormorant Garamond" w:hAnsi="Cormorant Garamond"/>
          <w:b/>
          <w:bCs/>
          <w:i/>
          <w:iCs/>
          <w:color w:val="3E4431"/>
          <w:sz w:val="38"/>
          <w:szCs w:val="38"/>
        </w:rPr>
        <w:t xml:space="preserve">2. What you receive</w:t>
      </w:r>
    </w:p>
    <w:p>
      <w:pPr>
        <w:spacing w:after="150" w:line="300"/>
      </w:pPr>
      <w:r>
        <w:rPr>
          <w:rFonts w:ascii="Jost" w:cs="Jost" w:eastAsia="Jost" w:hAnsi="Jost"/>
          <w:b w:val="false"/>
          <w:bCs w:val="false"/>
          <w:i w:val="false"/>
          <w:iCs w:val="false"/>
          <w:color w:val="3E4431"/>
          <w:sz w:val="21"/>
          <w:szCs w:val="21"/>
        </w:rPr>
        <w:t xml:space="preserve">Your enrolment includes structured weekly support drawn from the broad range of modalities across the Seven Streams: breathwork, movement, pressure point therapy, meditation, functional wellness, nervous system regulation, and community and accountability.</w:t>
      </w:r>
    </w:p>
    <w:p>
      <w:pPr>
        <w:spacing w:after="100" w:line="300"/>
        <w:ind w:left="400" w:hanging="220"/>
      </w:pPr>
      <w:r>
        <w:rPr>
          <w:rFonts w:ascii="Jost" w:cs="Jost" w:eastAsia="Jost" w:hAnsi="Jost"/>
          <w:color w:val="3E4431"/>
          <w:sz w:val="21"/>
          <w:szCs w:val="21"/>
        </w:rPr>
        <w:t xml:space="preserve">•   A first call of approximately 60 minutes, in which we take your baseline together and set the shape of your work.</w:t>
      </w:r>
    </w:p>
    <w:p>
      <w:pPr>
        <w:spacing w:after="100" w:line="300"/>
        <w:ind w:left="400" w:hanging="220"/>
      </w:pPr>
      <w:r>
        <w:rPr>
          <w:rFonts w:ascii="Jost" w:cs="Jost" w:eastAsia="Jost" w:hAnsi="Jost"/>
          <w:color w:val="3E4431"/>
          <w:sz w:val="21"/>
          <w:szCs w:val="21"/>
        </w:rPr>
        <w:t xml:space="preserve">•   A weekly live call of 20 to 30 minutes thereafter, at a mutually agreed time.</w:t>
      </w:r>
    </w:p>
    <w:p>
      <w:pPr>
        <w:spacing w:after="100" w:line="300"/>
        <w:ind w:left="400" w:hanging="220"/>
      </w:pPr>
      <w:r>
        <w:rPr>
          <w:rFonts w:ascii="Jost" w:cs="Jost" w:eastAsia="Jost" w:hAnsi="Jost"/>
          <w:color w:val="3E4431"/>
          <w:sz w:val="21"/>
          <w:szCs w:val="21"/>
        </w:rPr>
        <w:t xml:space="preserve">•   A weekly check-in form, completed by you and reviewed by your practitioner before each call.</w:t>
      </w:r>
    </w:p>
    <w:p>
      <w:pPr>
        <w:spacing w:after="100" w:line="300"/>
        <w:ind w:left="400" w:hanging="220"/>
      </w:pPr>
      <w:r>
        <w:rPr>
          <w:rFonts w:ascii="Jost" w:cs="Jost" w:eastAsia="Jost" w:hAnsi="Jost"/>
          <w:color w:val="3E4431"/>
          <w:sz w:val="21"/>
          <w:szCs w:val="21"/>
        </w:rPr>
        <w:t xml:space="preserve">•   A written weekly plan of action, tailored to your current focus.</w:t>
      </w:r>
    </w:p>
    <w:p>
      <w:pPr>
        <w:spacing w:after="100" w:line="300"/>
        <w:ind w:left="400" w:hanging="220"/>
      </w:pPr>
      <w:r>
        <w:rPr>
          <w:rFonts w:ascii="Jost" w:cs="Jost" w:eastAsia="Jost" w:hAnsi="Jost"/>
          <w:color w:val="3E4431"/>
          <w:sz w:val="21"/>
          <w:szCs w:val="21"/>
        </w:rPr>
        <w:t xml:space="preserve">•   PDF resources released as your work calls for them, typically covering a minimum of one week of focus at a time.</w:t>
      </w:r>
    </w:p>
    <w:p>
      <w:pPr>
        <w:spacing w:after="100" w:line="300"/>
        <w:ind w:left="400" w:hanging="220"/>
      </w:pPr>
      <w:r>
        <w:rPr>
          <w:rFonts w:ascii="Jost" w:cs="Jost" w:eastAsia="Jost" w:hAnsi="Jost"/>
          <w:color w:val="3E4431"/>
          <w:sz w:val="21"/>
          <w:szCs w:val="21"/>
        </w:rPr>
        <w:t xml:space="preserve">•   A personalised protocol designed around your circumstances and your progress.</w:t>
      </w:r>
    </w:p>
    <w:p>
      <w:pPr>
        <w:spacing w:after="60"/>
      </w:pPr>
    </w:p>
    <w:p>
      <w:pPr>
        <w:spacing w:after="150" w:line="300"/>
      </w:pPr>
      <w:r>
        <w:rPr>
          <w:rFonts w:ascii="Jost" w:cs="Jost" w:eastAsia="Jost" w:hAnsi="Jost"/>
          <w:b w:val="false"/>
          <w:bCs w:val="false"/>
          <w:i w:val="false"/>
          <w:iCs w:val="false"/>
          <w:color w:val="3E4431"/>
          <w:sz w:val="21"/>
          <w:szCs w:val="21"/>
        </w:rPr>
        <w:t xml:space="preserve">Your practitioner will be Matt, Sandra, or both, depending on the focus of your work. Where one is unavailable, the other may take a session, and we will tell you in advance wherever possible.</w:t>
      </w:r>
    </w:p>
    <w:p>
      <w:pPr>
        <w:spacing w:after="150" w:line="300"/>
      </w:pPr>
      <w:r>
        <w:rPr>
          <w:rFonts w:ascii="Jost" w:cs="Jost" w:eastAsia="Jost" w:hAnsi="Jost"/>
          <w:b w:val="false"/>
          <w:bCs w:val="false"/>
          <w:i w:val="false"/>
          <w:iCs w:val="false"/>
          <w:color w:val="3E4431"/>
          <w:sz w:val="21"/>
          <w:szCs w:val="21"/>
        </w:rPr>
        <w:t xml:space="preserve">Calls are held on WhatsApp by default, to the number you give us. If you would prefer Zoom, tell us and we will arrange it.</w:t>
      </w:r>
    </w:p>
    <w:p>
      <w:pPr>
        <w:pStyle w:val="Heading1"/>
        <w:spacing w:after="140" w:before="380"/>
      </w:pPr>
      <w:r>
        <w:rPr>
          <w:rFonts w:ascii="Cormorant Garamond" w:cs="Cormorant Garamond" w:eastAsia="Cormorant Garamond" w:hAnsi="Cormorant Garamond"/>
          <w:b/>
          <w:bCs/>
          <w:i/>
          <w:iCs/>
          <w:color w:val="3E4431"/>
          <w:sz w:val="38"/>
          <w:szCs w:val="38"/>
        </w:rPr>
        <w:t xml:space="preserve">3. Pricing</w:t>
      </w:r>
    </w:p>
    <w:p>
      <w:pPr>
        <w:spacing w:after="150" w:line="300"/>
      </w:pPr>
      <w:r>
        <w:rPr>
          <w:rFonts w:ascii="Jost" w:cs="Jost" w:eastAsia="Jost" w:hAnsi="Jost"/>
          <w:b w:val="false"/>
          <w:bCs w:val="false"/>
          <w:i w:val="false"/>
          <w:iCs w:val="false"/>
          <w:color w:val="3E4431"/>
          <w:sz w:val="21"/>
          <w:szCs w:val="21"/>
        </w:rPr>
        <w:t xml:space="preserve">All prices are in euros. Seven Rivers Wellness is not registered for VAT, so no VAT is added.</w:t>
      </w:r>
    </w:p>
    <w:p>
      <w:pPr>
        <w:spacing w:after="150" w:line="300"/>
      </w:pPr>
      <w:r>
        <w:rPr>
          <w:rFonts w:ascii="Jost" w:cs="Jost" w:eastAsia="Jost" w:hAnsi="Jost"/>
          <w:b w:val="false"/>
          <w:bCs w:val="false"/>
          <w:i w:val="false"/>
          <w:iCs w:val="false"/>
          <w:color w:val="3E4431"/>
          <w:sz w:val="21"/>
          <w:szCs w:val="21"/>
        </w:rPr>
        <w:t xml:space="preserve">The headline rate is €299 per month on a rolling basis. Longer commitments are discounted, and the saving is stated plainly rather than dressed up.</w:t>
      </w:r>
    </w:p>
    <w:p>
      <w:pPr>
        <w:spacing w:after="80"/>
      </w:pPr>
    </w:p>
    <w:tbl>
      <w:tblPr>
        <w:tblW w:type="dxa" w:w="9026"/>
        <w:tblBorders>
          <w:top w:val="single" w:color="E7DFCA" w:sz="2"/>
          <w:left w:val="single" w:color="E7DFCA" w:sz="2"/>
          <w:bottom w:val="single" w:color="E7DFCA" w:sz="2"/>
          <w:right w:val="single" w:color="E7DFCA" w:sz="2"/>
          <w:insideH w:val="single" w:color="E7DFCA" w:sz="2"/>
          <w:insideV w:val="single" w:color="E7DFCA" w:sz="2"/>
        </w:tblBorders>
      </w:tblPr>
      <w:tblGrid>
        <w:gridCol w:w="3400"/>
        <w:gridCol w:w="2813"/>
        <w:gridCol w:w="2813"/>
      </w:tblGrid>
      <w:tr>
        <w:trPr>
          <w:tblHeader/>
        </w:trPr>
        <w:tc>
          <w:tcPr>
            <w:tcW w:type="dxa" w:w="3400"/>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Commitment</w:t>
            </w:r>
          </w:p>
        </w:tc>
        <w:tc>
          <w:tcPr>
            <w:tcW w:type="dxa" w:w="2813"/>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Per month</w:t>
            </w:r>
          </w:p>
        </w:tc>
        <w:tc>
          <w:tcPr>
            <w:tcW w:type="dxa" w:w="2813"/>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Total</w:t>
            </w:r>
          </w:p>
        </w:tc>
      </w:tr>
      <w:tr>
        <w:tc>
          <w:tcPr>
            <w:tcW w:type="dxa" w:w="34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Monthly rolling</w:t>
            </w:r>
          </w:p>
        </w:tc>
        <w:tc>
          <w:tcPr>
            <w:tcW w:type="dxa" w:w="28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€299</w:t>
            </w:r>
          </w:p>
        </w:tc>
        <w:tc>
          <w:tcPr>
            <w:tcW w:type="dxa" w:w="28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Not applicable</w:t>
            </w:r>
          </w:p>
        </w:tc>
      </w:tr>
      <w:tr>
        <w:tc>
          <w:tcPr>
            <w:tcW w:type="dxa" w:w="34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Three months</w:t>
            </w:r>
          </w:p>
        </w:tc>
        <w:tc>
          <w:tcPr>
            <w:tcW w:type="dxa" w:w="28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€285</w:t>
            </w:r>
          </w:p>
        </w:tc>
        <w:tc>
          <w:tcPr>
            <w:tcW w:type="dxa" w:w="28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€855</w:t>
            </w:r>
          </w:p>
        </w:tc>
      </w:tr>
      <w:tr>
        <w:tc>
          <w:tcPr>
            <w:tcW w:type="dxa" w:w="34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Six months</w:t>
            </w:r>
          </w:p>
        </w:tc>
        <w:tc>
          <w:tcPr>
            <w:tcW w:type="dxa" w:w="28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€275</w:t>
            </w:r>
          </w:p>
        </w:tc>
        <w:tc>
          <w:tcPr>
            <w:tcW w:type="dxa" w:w="28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€1,650</w:t>
            </w:r>
          </w:p>
        </w:tc>
      </w:tr>
      <w:tr>
        <w:tc>
          <w:tcPr>
            <w:tcW w:type="dxa" w:w="34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Nine months</w:t>
            </w:r>
          </w:p>
        </w:tc>
        <w:tc>
          <w:tcPr>
            <w:tcW w:type="dxa" w:w="28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€265</w:t>
            </w:r>
          </w:p>
        </w:tc>
        <w:tc>
          <w:tcPr>
            <w:tcW w:type="dxa" w:w="28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€2,385</w:t>
            </w:r>
          </w:p>
        </w:tc>
      </w:tr>
    </w:tbl>
    <w:p>
      <w:pPr>
        <w:spacing w:after="180"/>
      </w:pPr>
    </w:p>
    <w:tbl>
      <w:tblPr>
        <w:tblW w:type="dxa" w:w="9026"/>
        <w:tblBorders>
          <w:top w:val="none" w:color="FFFFFF" w:sz="0"/>
          <w:left w:val="none" w:color="FFFFFF" w:sz="0"/>
          <w:bottom w:val="none" w:color="FFFFFF" w:sz="0"/>
          <w:right w:val="none" w:color="FFFFFF" w:sz="0"/>
          <w:insideH w:val="none" w:color="FFFFFF" w:sz="0"/>
          <w:insideV w:val="none" w:color="FFFFFF" w:sz="0"/>
        </w:tblBorders>
      </w:tblPr>
      <w:tblGrid>
        <w:gridCol w:w="9026"/>
      </w:tblGrid>
      <w:tr>
        <w:tc>
          <w:tcPr>
            <w:tcW w:type="dxa" w:w="9026"/>
            <w:shd w:fill="F1EBDC" w:color="auto" w:val="clear"/>
            <w:tcMar>
              <w:top w:type="dxa" w:w="220"/>
              <w:left w:type="dxa" w:w="280"/>
              <w:bottom w:type="dxa" w:w="220"/>
              <w:right w:type="dxa" w:w="280"/>
            </w:tcMar>
          </w:tcPr>
          <w:p>
            <w:pPr>
              <w:spacing w:after="90"/>
            </w:pPr>
            <w:r>
              <w:rPr>
                <w:rFonts w:ascii="Cormorant Garamond" w:cs="Cormorant Garamond" w:eastAsia="Cormorant Garamond" w:hAnsi="Cormorant Garamond"/>
                <w:b/>
                <w:bCs/>
                <w:i/>
                <w:iCs/>
                <w:color w:val="3E4431"/>
                <w:sz w:val="27"/>
                <w:szCs w:val="27"/>
              </w:rPr>
              <w:t xml:space="preserve">The founding client rate</w:t>
            </w:r>
          </w:p>
          <w:p>
            <w:pPr>
              <w:spacing w:after="110" w:line="300"/>
            </w:pPr>
            <w:r>
              <w:rPr>
                <w:rFonts w:ascii="Jost" w:cs="Jost" w:eastAsia="Jost" w:hAnsi="Jost"/>
                <w:color w:val="3E4431"/>
                <w:sz w:val="20"/>
                <w:szCs w:val="20"/>
              </w:rPr>
              <w:t xml:space="preserve">We are opening this programme with a limited number of founding places, offered at ten per cent below the rates above. It is our way of recognising the people who commit to a practice before there is a long list of other people’s results to read.</w:t>
            </w:r>
          </w:p>
          <w:p>
            <w:pPr>
              <w:spacing w:after="110" w:line="300"/>
            </w:pPr>
            <w:r>
              <w:rPr>
                <w:rFonts w:ascii="Jost" w:cs="Jost" w:eastAsia="Jost" w:hAnsi="Jost"/>
                <w:color w:val="3E4431"/>
                <w:sz w:val="20"/>
                <w:szCs w:val="20"/>
              </w:rPr>
              <w:t xml:space="preserve">If you take a founding place, that rate is yours for as long as you stay continuously enrolled with us, including through any renewal and whatever happens to our published prices. It is not an introductory rate that steps up later.</w:t>
            </w:r>
          </w:p>
          <w:p>
            <w:pPr>
              <w:spacing w:after="0" w:line="300"/>
            </w:pPr>
            <w:r>
              <w:rPr>
                <w:rFonts w:ascii="Jost" w:cs="Jost" w:eastAsia="Jost" w:hAnsi="Jost"/>
                <w:color w:val="3E4431"/>
                <w:sz w:val="20"/>
                <w:szCs w:val="20"/>
              </w:rPr>
              <w:t xml:space="preserve">Founding rates: €269 per month rolling, €256 per month over three months, €247 over six, and €238 over nine. When the founding places are taken, the rates above apply.</w:t>
            </w:r>
          </w:p>
        </w:tc>
      </w:tr>
    </w:tbl>
    <w:p>
      <w:pPr>
        <w:spacing w:after="180"/>
      </w:pPr>
    </w:p>
    <w:p>
      <w:pPr>
        <w:spacing w:after="150" w:line="300"/>
      </w:pPr>
      <w:r>
        <w:rPr>
          <w:rFonts w:ascii="Jost" w:cs="Jost" w:eastAsia="Jost" w:hAnsi="Jost"/>
          <w:b w:val="false"/>
          <w:bCs w:val="false"/>
          <w:i w:val="false"/>
          <w:iCs w:val="false"/>
          <w:color w:val="3E4431"/>
          <w:sz w:val="21"/>
          <w:szCs w:val="21"/>
        </w:rPr>
        <w:t xml:space="preserve">Your monthly rate is fixed for the duration of your chosen commitment, whatever happens to our prices in the meantime. Paying the full amount up front is accepted for convenience at the same price, since a discount there would not be fair on clients paying monthly.</w:t>
      </w:r>
    </w:p>
    <w:p>
      <w:pPr>
        <w:pStyle w:val="Heading1"/>
        <w:spacing w:after="140" w:before="380"/>
      </w:pPr>
      <w:r>
        <w:rPr>
          <w:rFonts w:ascii="Cormorant Garamond" w:cs="Cormorant Garamond" w:eastAsia="Cormorant Garamond" w:hAnsi="Cormorant Garamond"/>
          <w:b/>
          <w:bCs/>
          <w:i/>
          <w:iCs/>
          <w:color w:val="3E4431"/>
          <w:sz w:val="38"/>
          <w:szCs w:val="38"/>
        </w:rPr>
        <w:t xml:space="preserve">4. Payment</w:t>
      </w:r>
    </w:p>
    <w:p>
      <w:pPr>
        <w:spacing w:after="150" w:line="300"/>
      </w:pPr>
      <w:r>
        <w:rPr>
          <w:rFonts w:ascii="Jost" w:cs="Jost" w:eastAsia="Jost" w:hAnsi="Jost"/>
          <w:b w:val="false"/>
          <w:bCs w:val="false"/>
          <w:i w:val="false"/>
          <w:iCs w:val="false"/>
          <w:color w:val="3E4431"/>
          <w:sz w:val="21"/>
          <w:szCs w:val="21"/>
        </w:rPr>
        <w:t xml:space="preserve">Payment is taken monthly in advance by card through Stripe. We accept all major credit and debit cards. We never see or hold your card details.</w:t>
      </w:r>
    </w:p>
    <w:p>
      <w:pPr>
        <w:spacing w:after="150" w:line="300"/>
      </w:pPr>
      <w:r>
        <w:rPr>
          <w:rFonts w:ascii="Jost" w:cs="Jost" w:eastAsia="Jost" w:hAnsi="Jost"/>
          <w:b w:val="false"/>
          <w:bCs w:val="false"/>
          <w:i w:val="false"/>
          <w:iCs w:val="false"/>
          <w:color w:val="3E4431"/>
          <w:sz w:val="21"/>
          <w:szCs w:val="21"/>
        </w:rPr>
        <w:t xml:space="preserve">Your first payment is taken on the day you enrol. That date is the start of your commitment and the date each subsequent monthly payment falls due.</w:t>
      </w:r>
    </w:p>
    <w:p>
      <w:pPr>
        <w:spacing w:after="150" w:line="300"/>
      </w:pPr>
      <w:r>
        <w:rPr>
          <w:rFonts w:ascii="Jost" w:cs="Jost" w:eastAsia="Jost" w:hAnsi="Jost"/>
          <w:b w:val="false"/>
          <w:bCs w:val="false"/>
          <w:i w:val="false"/>
          <w:iCs w:val="false"/>
          <w:color w:val="3E4431"/>
          <w:sz w:val="21"/>
          <w:szCs w:val="21"/>
        </w:rPr>
        <w:t xml:space="preserve">If a payment fails, Stripe will retry it automatically and will tell you each time. Your sessions and resources carry on throughout. If it is still unresolved after fourteen days, we will speak to you directly about whether the commitment continues, pauses, or ends. You will not be dropped mid-week over an expired card.</w:t>
      </w:r>
    </w:p>
    <w:p>
      <w:pPr>
        <w:pStyle w:val="Heading1"/>
        <w:spacing w:after="140" w:before="380"/>
      </w:pPr>
      <w:r>
        <w:rPr>
          <w:rFonts w:ascii="Cormorant Garamond" w:cs="Cormorant Garamond" w:eastAsia="Cormorant Garamond" w:hAnsi="Cormorant Garamond"/>
          <w:b/>
          <w:bCs/>
          <w:i/>
          <w:iCs/>
          <w:color w:val="3E4431"/>
          <w:sz w:val="38"/>
          <w:szCs w:val="38"/>
        </w:rPr>
        <w:t xml:space="preserve">5. Your cooling off period</w:t>
      </w:r>
    </w:p>
    <w:p>
      <w:pPr>
        <w:spacing w:after="150" w:line="300"/>
      </w:pPr>
      <w:r>
        <w:rPr>
          <w:rFonts w:ascii="Jost" w:cs="Jost" w:eastAsia="Jost" w:hAnsi="Jost"/>
          <w:b w:val="false"/>
          <w:bCs w:val="false"/>
          <w:i w:val="false"/>
          <w:iCs w:val="false"/>
          <w:color w:val="3E4431"/>
          <w:sz w:val="21"/>
          <w:szCs w:val="21"/>
        </w:rPr>
        <w:t xml:space="preserve">Because you are enrolling at a distance, you have a legal right to withdraw within fourteen days of enrolling, without giving a reason. To do so, email info@sevenrivers-wellness.com within that period. You do not need a particular form of words.</w:t>
      </w:r>
    </w:p>
    <w:p>
      <w:pPr>
        <w:spacing w:after="60"/>
      </w:pPr>
    </w:p>
    <w:tbl>
      <w:tblPr>
        <w:tblW w:type="dxa" w:w="9026"/>
        <w:tblBorders>
          <w:top w:val="none" w:color="FFFFFF" w:sz="0"/>
          <w:left w:val="none" w:color="FFFFFF" w:sz="0"/>
          <w:bottom w:val="none" w:color="FFFFFF" w:sz="0"/>
          <w:right w:val="none" w:color="FFFFFF" w:sz="0"/>
          <w:insideH w:val="none" w:color="FFFFFF" w:sz="0"/>
          <w:insideV w:val="none" w:color="FFFFFF" w:sz="0"/>
        </w:tblBorders>
      </w:tblPr>
      <w:tblGrid>
        <w:gridCol w:w="9026"/>
      </w:tblGrid>
      <w:tr>
        <w:tc>
          <w:tcPr>
            <w:tcW w:type="dxa" w:w="9026"/>
            <w:shd w:fill="F1EBDC" w:color="auto" w:val="clear"/>
            <w:tcMar>
              <w:top w:type="dxa" w:w="220"/>
              <w:left w:type="dxa" w:w="280"/>
              <w:bottom w:type="dxa" w:w="220"/>
              <w:right w:type="dxa" w:w="280"/>
            </w:tcMar>
          </w:tcPr>
          <w:p>
            <w:pPr>
              <w:spacing w:after="90"/>
            </w:pPr>
            <w:r>
              <w:rPr>
                <w:rFonts w:ascii="Cormorant Garamond" w:cs="Cormorant Garamond" w:eastAsia="Cormorant Garamond" w:hAnsi="Cormorant Garamond"/>
                <w:b/>
                <w:bCs/>
                <w:i/>
                <w:iCs/>
                <w:color w:val="3E4431"/>
                <w:sz w:val="27"/>
                <w:szCs w:val="27"/>
              </w:rPr>
              <w:t xml:space="preserve">If you want to start straight away</w:t>
            </w:r>
          </w:p>
          <w:p>
            <w:pPr>
              <w:spacing w:after="110" w:line="300"/>
            </w:pPr>
            <w:r>
              <w:rPr>
                <w:rFonts w:ascii="Jost" w:cs="Jost" w:eastAsia="Jost" w:hAnsi="Jost"/>
                <w:color w:val="3E4431"/>
                <w:sz w:val="20"/>
                <w:szCs w:val="20"/>
              </w:rPr>
              <w:t xml:space="preserve">Most people do, and starting inside the fourteen days is entirely your choice to make. When you enrol you are asked to confirm that you want your coaching to begin immediately, and that you understand you will be charged for the part of the service already delivered if you then withdraw.</w:t>
            </w:r>
          </w:p>
          <w:p>
            <w:pPr>
              <w:spacing w:after="110" w:line="300"/>
            </w:pPr>
            <w:r>
              <w:rPr>
                <w:rFonts w:ascii="Jost" w:cs="Jost" w:eastAsia="Jost" w:hAnsi="Jost"/>
                <w:color w:val="3E4431"/>
                <w:sz w:val="20"/>
                <w:szCs w:val="20"/>
              </w:rPr>
              <w:t xml:space="preserve">In practice that means a fair proportion of the month, based on the sessions and materials you have had. Once a monthly period has been fully delivered, the right to a refund for that period no longer applies.</w:t>
            </w:r>
          </w:p>
          <w:p>
            <w:pPr>
              <w:spacing w:after="0" w:line="300"/>
            </w:pPr>
            <w:r>
              <w:rPr>
                <w:rFonts w:ascii="Jost" w:cs="Jost" w:eastAsia="Jost" w:hAnsi="Jost"/>
                <w:color w:val="3E4431"/>
                <w:sz w:val="20"/>
                <w:szCs w:val="20"/>
              </w:rPr>
              <w:t xml:space="preserve">If you would rather keep the full right intact, tell us, and we will schedule your first call after the fourteen days have passed.</w:t>
            </w:r>
          </w:p>
        </w:tc>
      </w:tr>
    </w:tbl>
    <w:p>
      <w:r>
        <w:br w:type="page"/>
      </w:r>
    </w:p>
    <w:p>
      <w:pPr>
        <w:pStyle w:val="Heading1"/>
        <w:spacing w:after="140" w:before="380"/>
      </w:pPr>
      <w:r>
        <w:rPr>
          <w:rFonts w:ascii="Cormorant Garamond" w:cs="Cormorant Garamond" w:eastAsia="Cormorant Garamond" w:hAnsi="Cormorant Garamond"/>
          <w:b/>
          <w:bCs/>
          <w:i/>
          <w:iCs/>
          <w:color w:val="3E4431"/>
          <w:sz w:val="38"/>
          <w:szCs w:val="38"/>
        </w:rPr>
        <w:t xml:space="preserve">6. Cancellation, and the end of a commitment</w:t>
      </w:r>
    </w:p>
    <w:p>
      <w:pPr>
        <w:spacing w:after="100" w:before="260"/>
      </w:pPr>
      <w:r>
        <w:rPr>
          <w:rFonts w:ascii="Jost" w:cs="Jost" w:eastAsia="Jost" w:hAnsi="Jost"/>
          <w:b/>
          <w:bCs/>
          <w:color w:val="4D5732"/>
          <w:sz w:val="21"/>
          <w:szCs w:val="21"/>
        </w:rPr>
        <w:t xml:space="preserve">If you are on monthly rolling</w:t>
      </w:r>
    </w:p>
    <w:p>
      <w:pPr>
        <w:spacing w:after="150" w:line="300"/>
      </w:pPr>
      <w:r>
        <w:rPr>
          <w:rFonts w:ascii="Jost" w:cs="Jost" w:eastAsia="Jost" w:hAnsi="Jost"/>
          <w:b w:val="false"/>
          <w:bCs w:val="false"/>
          <w:i w:val="false"/>
          <w:iCs w:val="false"/>
          <w:color w:val="3E4431"/>
          <w:sz w:val="21"/>
          <w:szCs w:val="21"/>
        </w:rPr>
        <w:t xml:space="preserve">You may cancel at any time by giving thirty days written notice by email to info@sevenrivers-wellness.com. Your calls and resources continue through the notice period, and no payment is taken after it ends.</w:t>
      </w:r>
    </w:p>
    <w:p>
      <w:pPr>
        <w:spacing w:after="100" w:before="260"/>
      </w:pPr>
      <w:r>
        <w:rPr>
          <w:rFonts w:ascii="Jost" w:cs="Jost" w:eastAsia="Jost" w:hAnsi="Jost"/>
          <w:b/>
          <w:bCs/>
          <w:color w:val="4D5732"/>
          <w:sz w:val="21"/>
          <w:szCs w:val="21"/>
        </w:rPr>
        <w:t xml:space="preserve">If you are on a three, six, or nine month commitment</w:t>
      </w:r>
    </w:p>
    <w:p>
      <w:pPr>
        <w:spacing w:after="150" w:line="300"/>
      </w:pPr>
      <w:r>
        <w:rPr>
          <w:rFonts w:ascii="Jost" w:cs="Jost" w:eastAsia="Jost" w:hAnsi="Jost"/>
          <w:b w:val="false"/>
          <w:bCs w:val="false"/>
          <w:i w:val="false"/>
          <w:iCs w:val="false"/>
          <w:color w:val="3E4431"/>
          <w:sz w:val="21"/>
          <w:szCs w:val="21"/>
        </w:rPr>
        <w:t xml:space="preserve">By choosing a commitment length you are agreeing to the full term at the discounted rate, and monthly payments are collected for the whole of it. The term runs from the date of your first payment.</w:t>
      </w:r>
    </w:p>
    <w:p>
      <w:pPr>
        <w:spacing w:after="150" w:line="300"/>
      </w:pPr>
      <w:r>
        <w:rPr>
          <w:rFonts w:ascii="Jost" w:cs="Jost" w:eastAsia="Jost" w:hAnsi="Jost"/>
          <w:b w:val="false"/>
          <w:bCs w:val="false"/>
          <w:i w:val="false"/>
          <w:iCs w:val="false"/>
          <w:color w:val="3E4431"/>
          <w:sz w:val="21"/>
          <w:szCs w:val="21"/>
        </w:rPr>
        <w:t xml:space="preserve">We open the renewal conversation at least one month before your term ends, so there is time to think about it properly. Continuing, moving to a different commitment length, or finishing are all genuinely on the table, and none of them is treated as the expected answer.</w:t>
      </w:r>
    </w:p>
    <w:p>
      <w:pPr>
        <w:spacing w:after="150" w:line="300"/>
      </w:pPr>
      <w:r>
        <w:rPr>
          <w:rFonts w:ascii="Jost" w:cs="Jost" w:eastAsia="Jost" w:hAnsi="Jost"/>
          <w:b w:val="false"/>
          <w:bCs w:val="false"/>
          <w:i w:val="false"/>
          <w:iCs w:val="false"/>
          <w:color w:val="3E4431"/>
          <w:sz w:val="21"/>
          <w:szCs w:val="21"/>
        </w:rPr>
        <w:t xml:space="preserve">If the term reaches its end without a new arrangement being agreed, payments simply stop and your enrolment closes. Nothing rolls over automatically and you will never be charged for a period you did not agree to. If you want to carry on after that, you are welcome to, and we will set up a new arrangement.</w:t>
      </w:r>
    </w:p>
    <w:p>
      <w:pPr>
        <w:spacing w:after="100" w:before="260"/>
      </w:pPr>
      <w:r>
        <w:rPr>
          <w:rFonts w:ascii="Jost" w:cs="Jost" w:eastAsia="Jost" w:hAnsi="Jost"/>
          <w:b/>
          <w:bCs/>
          <w:color w:val="4D5732"/>
          <w:sz w:val="21"/>
          <w:szCs w:val="21"/>
        </w:rPr>
        <w:t xml:space="preserve">Exceptional circumstances</w:t>
      </w:r>
    </w:p>
    <w:p>
      <w:pPr>
        <w:spacing w:after="150" w:line="300"/>
      </w:pPr>
      <w:r>
        <w:rPr>
          <w:rFonts w:ascii="Jost" w:cs="Jost" w:eastAsia="Jost" w:hAnsi="Jost"/>
          <w:b w:val="false"/>
          <w:bCs w:val="false"/>
          <w:i w:val="false"/>
          <w:iCs w:val="false"/>
          <w:color w:val="3E4431"/>
          <w:sz w:val="21"/>
          <w:szCs w:val="21"/>
        </w:rPr>
        <w:t xml:space="preserve">In rare cases of serious personal circumstance, such as significant illness, bereavement, or a major change at home, we may pause or end a commitment early at our discretion. Contact us and we will find a workable way forward. This does not affect your statutory rights.</w:t>
      </w:r>
    </w:p>
    <w:p>
      <w:pPr>
        <w:pStyle w:val="Heading1"/>
        <w:spacing w:after="140" w:before="380"/>
      </w:pPr>
      <w:r>
        <w:rPr>
          <w:rFonts w:ascii="Cormorant Garamond" w:cs="Cormorant Garamond" w:eastAsia="Cormorant Garamond" w:hAnsi="Cormorant Garamond"/>
          <w:b/>
          <w:bCs/>
          <w:i/>
          <w:iCs/>
          <w:color w:val="3E4431"/>
          <w:sz w:val="38"/>
          <w:szCs w:val="38"/>
        </w:rPr>
        <w:t xml:space="preserve">7. Calls, rescheduling, and missed sessions</w:t>
      </w:r>
    </w:p>
    <w:p>
      <w:pPr>
        <w:spacing w:after="150" w:line="300"/>
      </w:pPr>
      <w:r>
        <w:rPr>
          <w:rFonts w:ascii="Jost" w:cs="Jost" w:eastAsia="Jost" w:hAnsi="Jost"/>
          <w:b w:val="false"/>
          <w:bCs w:val="false"/>
          <w:i w:val="false"/>
          <w:iCs w:val="false"/>
          <w:color w:val="3E4431"/>
          <w:sz w:val="21"/>
          <w:szCs w:val="21"/>
        </w:rPr>
        <w:t xml:space="preserve">If you need to move a call, please give us as much notice as you can. Forty eight hours is ideal and lets us offer you something sensible in return.</w:t>
      </w:r>
    </w:p>
    <w:p>
      <w:pPr>
        <w:spacing w:after="150" w:line="300"/>
      </w:pPr>
      <w:r>
        <w:rPr>
          <w:rFonts w:ascii="Jost" w:cs="Jost" w:eastAsia="Jost" w:hAnsi="Jost"/>
          <w:b w:val="false"/>
          <w:bCs w:val="false"/>
          <w:i w:val="false"/>
          <w:iCs w:val="false"/>
          <w:color w:val="3E4431"/>
          <w:sz w:val="21"/>
          <w:szCs w:val="21"/>
        </w:rPr>
        <w:t xml:space="preserve">Twenty four hours is the point at which it becomes a firm rule. A call cancelled with less than twenty four hours notice, or missed without notice, is not refunded or rescheduled. Your weekly plan of action and your resources are still released as normal, so the structure of your work is preserved.</w:t>
      </w:r>
    </w:p>
    <w:p>
      <w:pPr>
        <w:spacing w:after="150" w:line="300"/>
      </w:pPr>
      <w:r>
        <w:rPr>
          <w:rFonts w:ascii="Jost" w:cs="Jost" w:eastAsia="Jost" w:hAnsi="Jost"/>
          <w:b w:val="false"/>
          <w:bCs w:val="false"/>
          <w:i w:val="false"/>
          <w:iCs w:val="false"/>
          <w:color w:val="3E4431"/>
          <w:sz w:val="21"/>
          <w:szCs w:val="21"/>
        </w:rPr>
        <w:t xml:space="preserve">If we need to reschedule, we will offer you an alternative time of the same length within the same week, or extend your enrolment by a week, whichever you prefer.</w:t>
      </w:r>
    </w:p>
    <w:p>
      <w:pPr>
        <w:pStyle w:val="Heading1"/>
        <w:spacing w:after="140" w:before="380"/>
      </w:pPr>
      <w:r>
        <w:rPr>
          <w:rFonts w:ascii="Cormorant Garamond" w:cs="Cormorant Garamond" w:eastAsia="Cormorant Garamond" w:hAnsi="Cormorant Garamond"/>
          <w:b/>
          <w:bCs/>
          <w:i/>
          <w:iCs/>
          <w:color w:val="3E4431"/>
          <w:sz w:val="38"/>
          <w:szCs w:val="38"/>
        </w:rPr>
        <w:t xml:space="preserve">8. Support between calls</w:t>
      </w:r>
    </w:p>
    <w:p>
      <w:pPr>
        <w:spacing w:after="150" w:line="300"/>
      </w:pPr>
      <w:r>
        <w:rPr>
          <w:rFonts w:ascii="Jost" w:cs="Jost" w:eastAsia="Jost" w:hAnsi="Jost"/>
          <w:b w:val="false"/>
          <w:bCs w:val="false"/>
          <w:i w:val="false"/>
          <w:iCs w:val="false"/>
          <w:color w:val="3E4431"/>
          <w:sz w:val="21"/>
          <w:szCs w:val="21"/>
        </w:rPr>
        <w:t xml:space="preserve">You can contact us between calls by WhatsApp or email for brief technique questions, scheduling, and anything administrative. We answer within one business day, Monday to Friday.</w:t>
      </w:r>
    </w:p>
    <w:p>
      <w:pPr>
        <w:spacing w:after="150" w:line="300"/>
      </w:pPr>
      <w:r>
        <w:rPr>
          <w:rFonts w:ascii="Jost" w:cs="Jost" w:eastAsia="Jost" w:hAnsi="Jost"/>
          <w:b w:val="false"/>
          <w:bCs w:val="false"/>
          <w:i w:val="false"/>
          <w:iCs w:val="false"/>
          <w:color w:val="3E4431"/>
          <w:sz w:val="21"/>
          <w:szCs w:val="21"/>
        </w:rPr>
        <w:t xml:space="preserve">There is no cover outside those hours. Support between calls does not include personalised protocols, extended coaching, or urgent help. The substantial work happens in your scheduled call, which is where it belongs.</w:t>
      </w:r>
    </w:p>
    <w:p>
      <w:pPr>
        <w:pStyle w:val="Heading1"/>
        <w:spacing w:after="140" w:before="380"/>
      </w:pPr>
      <w:r>
        <w:rPr>
          <w:rFonts w:ascii="Cormorant Garamond" w:cs="Cormorant Garamond" w:eastAsia="Cormorant Garamond" w:hAnsi="Cormorant Garamond"/>
          <w:b/>
          <w:bCs/>
          <w:i/>
          <w:iCs/>
          <w:color w:val="3E4431"/>
          <w:sz w:val="38"/>
          <w:szCs w:val="38"/>
        </w:rPr>
        <w:t xml:space="preserve">9. Confidentiality</w:t>
      </w:r>
    </w:p>
    <w:p>
      <w:pPr>
        <w:spacing w:after="150" w:line="300"/>
      </w:pPr>
      <w:r>
        <w:rPr>
          <w:rFonts w:ascii="Jost" w:cs="Jost" w:eastAsia="Jost" w:hAnsi="Jost"/>
          <w:b w:val="false"/>
          <w:bCs w:val="false"/>
          <w:i w:val="false"/>
          <w:iCs w:val="false"/>
          <w:color w:val="3E4431"/>
          <w:sz w:val="21"/>
          <w:szCs w:val="21"/>
        </w:rPr>
        <w:t xml:space="preserve">What you share in your calls and check-in forms is held in confidence by your practitioner. We keep practice notes so that your work carries forward properly from one week to the next. Nothing personal is shared with anyone else without your express consent.</w:t>
      </w:r>
    </w:p>
    <w:p>
      <w:pPr>
        <w:spacing w:after="150" w:line="300"/>
      </w:pPr>
      <w:r>
        <w:rPr>
          <w:rFonts w:ascii="Jost" w:cs="Jost" w:eastAsia="Jost" w:hAnsi="Jost"/>
          <w:b w:val="false"/>
          <w:bCs w:val="false"/>
          <w:i w:val="false"/>
          <w:iCs w:val="false"/>
          <w:color w:val="3E4431"/>
          <w:sz w:val="21"/>
          <w:szCs w:val="21"/>
        </w:rPr>
        <w:t xml:space="preserve">There are three exceptions, and we would rather you knew them at the outset than discovered them at the moment they applied.</w:t>
      </w:r>
    </w:p>
    <w:p>
      <w:pPr>
        <w:spacing w:after="100" w:line="300"/>
        <w:ind w:left="400" w:hanging="220"/>
      </w:pPr>
      <w:r>
        <w:rPr>
          <w:rFonts w:ascii="Jost" w:cs="Jost" w:eastAsia="Jost" w:hAnsi="Jost"/>
          <w:color w:val="3E4431"/>
          <w:sz w:val="21"/>
          <w:szCs w:val="21"/>
        </w:rPr>
        <w:t xml:space="preserve">•   Where we are required by law to disclose something, including by order of a court.</w:t>
      </w:r>
    </w:p>
    <w:p>
      <w:pPr>
        <w:spacing w:after="100" w:line="300"/>
        <w:ind w:left="400" w:hanging="220"/>
      </w:pPr>
      <w:r>
        <w:rPr>
          <w:rFonts w:ascii="Jost" w:cs="Jost" w:eastAsia="Jost" w:hAnsi="Jost"/>
          <w:color w:val="3E4431"/>
          <w:sz w:val="21"/>
          <w:szCs w:val="21"/>
        </w:rPr>
        <w:t xml:space="preserve">•   Where there is a reasonable concern about immediate risk to your safety or to someone else’s.</w:t>
      </w:r>
    </w:p>
    <w:p>
      <w:pPr>
        <w:spacing w:after="100" w:line="300"/>
        <w:ind w:left="400" w:hanging="220"/>
      </w:pPr>
      <w:r>
        <w:rPr>
          <w:rFonts w:ascii="Jost" w:cs="Jost" w:eastAsia="Jost" w:hAnsi="Jost"/>
          <w:color w:val="3E4431"/>
          <w:sz w:val="21"/>
          <w:szCs w:val="21"/>
        </w:rPr>
        <w:t xml:space="preserve">•   Where we have reasonable grounds for concern that a child, or an adult who is not in a position to protect themselves, has been harmed or is at risk of harm. We are obliged to report such a concern to Tusla, and we cannot agree to keep it between us.</w:t>
      </w:r>
    </w:p>
    <w:p>
      <w:pPr>
        <w:pStyle w:val="Heading1"/>
        <w:spacing w:after="140" w:before="380"/>
      </w:pPr>
      <w:r>
        <w:rPr>
          <w:rFonts w:ascii="Cormorant Garamond" w:cs="Cormorant Garamond" w:eastAsia="Cormorant Garamond" w:hAnsi="Cormorant Garamond"/>
          <w:b/>
          <w:bCs/>
          <w:i/>
          <w:iCs/>
          <w:color w:val="3E4431"/>
          <w:sz w:val="38"/>
          <w:szCs w:val="38"/>
        </w:rPr>
        <w:t xml:space="preserve">10. Your materials</w:t>
      </w:r>
    </w:p>
    <w:p>
      <w:pPr>
        <w:spacing w:after="150" w:line="300"/>
      </w:pPr>
      <w:r>
        <w:rPr>
          <w:rFonts w:ascii="Jost" w:cs="Jost" w:eastAsia="Jost" w:hAnsi="Jost"/>
          <w:b w:val="false"/>
          <w:bCs w:val="false"/>
          <w:i w:val="false"/>
          <w:iCs w:val="false"/>
          <w:color w:val="3E4431"/>
          <w:sz w:val="21"/>
          <w:szCs w:val="21"/>
        </w:rPr>
        <w:t xml:space="preserve">Your weekly plans and all programme resources are yours to use for your own practice, to download, and to refer back to during your enrolment and after it ends.</w:t>
      </w:r>
    </w:p>
    <w:p>
      <w:pPr>
        <w:spacing w:after="150" w:line="300"/>
      </w:pPr>
      <w:r>
        <w:rPr>
          <w:rFonts w:ascii="Jost" w:cs="Jost" w:eastAsia="Jost" w:hAnsi="Jost"/>
          <w:b w:val="false"/>
          <w:bCs w:val="false"/>
          <w:i w:val="false"/>
          <w:iCs w:val="false"/>
          <w:color w:val="3E4431"/>
          <w:sz w:val="21"/>
          <w:szCs w:val="21"/>
        </w:rPr>
        <w:t xml:space="preserve">They are not for sharing, republishing, or commercial use, and please do not record a live call without asking us first. All of it remains our copyright. If something is being circulated that should not be, we will ask for it to be taken down.</w:t>
      </w:r>
    </w:p>
    <w:p>
      <w:r>
        <w:br w:type="page"/>
      </w:r>
    </w:p>
    <w:p>
      <w:pPr>
        <w:pStyle w:val="Heading1"/>
        <w:spacing w:after="140" w:before="380"/>
      </w:pPr>
      <w:r>
        <w:rPr>
          <w:rFonts w:ascii="Cormorant Garamond" w:cs="Cormorant Garamond" w:eastAsia="Cormorant Garamond" w:hAnsi="Cormorant Garamond"/>
          <w:b/>
          <w:bCs/>
          <w:i/>
          <w:iCs/>
          <w:color w:val="3E4431"/>
          <w:sz w:val="38"/>
          <w:szCs w:val="38"/>
        </w:rPr>
        <w:t xml:space="preserve">11. Health, safety, and our scope of practice</w:t>
      </w:r>
    </w:p>
    <w:p>
      <w:pPr>
        <w:spacing w:after="150" w:line="300"/>
      </w:pPr>
      <w:r>
        <w:rPr>
          <w:rFonts w:ascii="Jost" w:cs="Jost" w:eastAsia="Jost" w:hAnsi="Jost"/>
          <w:b w:val="false"/>
          <w:bCs w:val="false"/>
          <w:i w:val="false"/>
          <w:iCs w:val="false"/>
          <w:color w:val="3E4431"/>
          <w:sz w:val="21"/>
          <w:szCs w:val="21"/>
        </w:rPr>
        <w:t xml:space="preserve">This section is the medical disclaimer for the programme.</w:t>
      </w:r>
    </w:p>
    <w:p>
      <w:pPr>
        <w:spacing w:after="150" w:line="300"/>
      </w:pPr>
      <w:r>
        <w:rPr>
          <w:rFonts w:ascii="Jost" w:cs="Jost" w:eastAsia="Jost" w:hAnsi="Jost"/>
          <w:b w:val="false"/>
          <w:bCs w:val="false"/>
          <w:i w:val="false"/>
          <w:iCs w:val="false"/>
          <w:color w:val="3E4431"/>
          <w:sz w:val="21"/>
          <w:szCs w:val="21"/>
        </w:rPr>
        <w:t xml:space="preserve">The 1-to-1 Coaching programme provides education and personalised guidance in nervous system regulation, breathwork, movement, pressure point therapy, meditation, and self-care practice. It is not medical advice, diagnosis, or treatment, and it does not replace medical or therapeutic care.</w:t>
      </w:r>
    </w:p>
    <w:p>
      <w:pPr>
        <w:spacing w:after="100" w:before="260"/>
      </w:pPr>
      <w:r>
        <w:rPr>
          <w:rFonts w:ascii="Jost" w:cs="Jost" w:eastAsia="Jost" w:hAnsi="Jost"/>
          <w:b/>
          <w:bCs/>
          <w:color w:val="4D5732"/>
          <w:sz w:val="21"/>
          <w:szCs w:val="21"/>
        </w:rPr>
        <w:t xml:space="preserve">Our qualifications</w:t>
      </w:r>
    </w:p>
    <w:p>
      <w:pPr>
        <w:spacing w:after="150" w:line="300"/>
      </w:pPr>
      <w:r>
        <w:rPr>
          <w:rFonts w:ascii="Jost" w:cs="Jost" w:eastAsia="Jost" w:hAnsi="Jost"/>
          <w:b w:val="false"/>
          <w:bCs w:val="false"/>
          <w:i w:val="false"/>
          <w:iCs w:val="false"/>
          <w:color w:val="3E4431"/>
          <w:sz w:val="21"/>
          <w:szCs w:val="21"/>
        </w:rPr>
        <w:t xml:space="preserve">Matt Dunham holds qualifications in acupuncture, reiki, and Oxygen Advantage breathwork. Sandra Dunham is qualified in reflexology, breathwork (Oxygen Advantage, Buteyko, and Aria Breath), and yoga. Our breath practice draws on the Oxygen Advantage methodology developed by Patrick McKeown.</w:t>
      </w:r>
    </w:p>
    <w:p>
      <w:pPr>
        <w:spacing w:after="150" w:line="300"/>
      </w:pPr>
      <w:r>
        <w:rPr>
          <w:rFonts w:ascii="Jost" w:cs="Jost" w:eastAsia="Jost" w:hAnsi="Jost"/>
          <w:b w:val="false"/>
          <w:bCs w:val="false"/>
          <w:i w:val="false"/>
          <w:iCs w:val="false"/>
          <w:color w:val="3E4431"/>
          <w:sz w:val="21"/>
          <w:szCs w:val="21"/>
        </w:rPr>
        <w:t xml:space="preserve">We give instruction within that scope. We do not diagnose, treat, or cure any condition, and we do not comment on medication.</w:t>
      </w:r>
    </w:p>
    <w:p>
      <w:pPr>
        <w:spacing w:after="100" w:before="260"/>
      </w:pPr>
      <w:r>
        <w:rPr>
          <w:rFonts w:ascii="Jost" w:cs="Jost" w:eastAsia="Jost" w:hAnsi="Jost"/>
          <w:b/>
          <w:bCs/>
          <w:color w:val="4D5732"/>
          <w:sz w:val="21"/>
          <w:szCs w:val="21"/>
        </w:rPr>
        <w:t xml:space="preserve">Screening</w:t>
      </w:r>
    </w:p>
    <w:p>
      <w:pPr>
        <w:spacing w:after="150" w:line="300"/>
      </w:pPr>
      <w:r>
        <w:rPr>
          <w:rFonts w:ascii="Jost" w:cs="Jost" w:eastAsia="Jost" w:hAnsi="Jost"/>
          <w:b w:val="false"/>
          <w:bCs w:val="false"/>
          <w:i w:val="false"/>
          <w:iCs w:val="false"/>
          <w:color w:val="3E4431"/>
          <w:sz w:val="21"/>
          <w:szCs w:val="21"/>
        </w:rPr>
        <w:t xml:space="preserve">Before your first call you complete a health and intake screening form. It tells us what to be careful with and it determines which practices are appropriate for you. Some practices, breath holds in particular, are not suitable in every set of circumstances, and where that applies an alternative is chosen from the other streams. Nobody is excluded from the programme by a single answer on that form.</w:t>
      </w:r>
    </w:p>
    <w:p>
      <w:pPr>
        <w:spacing w:after="150" w:line="300"/>
      </w:pPr>
      <w:r>
        <w:rPr>
          <w:rFonts w:ascii="Jost" w:cs="Jost" w:eastAsia="Jost" w:hAnsi="Jost"/>
          <w:b w:val="false"/>
          <w:bCs w:val="false"/>
          <w:i w:val="false"/>
          <w:iCs w:val="false"/>
          <w:color w:val="3E4431"/>
          <w:sz w:val="21"/>
          <w:szCs w:val="21"/>
        </w:rPr>
        <w:t xml:space="preserve">Please tell your healthcare provider that you are undertaking this programme, particularly if you are pregnant, or if you have high blood pressure, a cardiovascular condition, a respiratory condition, diabetes, kidney disease, depression, a current cancer, or any other significant health concern. Where your screening indicates it, we may ask you to obtain written clearance before a specific practice is introduced. Everything else continues in the meantime.</w:t>
      </w:r>
    </w:p>
    <w:p>
      <w:pPr>
        <w:spacing w:after="100" w:before="260"/>
      </w:pPr>
      <w:r>
        <w:rPr>
          <w:rFonts w:ascii="Jost" w:cs="Jost" w:eastAsia="Jost" w:hAnsi="Jost"/>
          <w:b/>
          <w:bCs/>
          <w:color w:val="4D5732"/>
          <w:sz w:val="21"/>
          <w:szCs w:val="21"/>
        </w:rPr>
        <w:t xml:space="preserve">Working alongside your existing care</w:t>
      </w:r>
    </w:p>
    <w:p>
      <w:pPr>
        <w:spacing w:after="150" w:line="300"/>
      </w:pPr>
      <w:r>
        <w:rPr>
          <w:rFonts w:ascii="Jost" w:cs="Jost" w:eastAsia="Jost" w:hAnsi="Jost"/>
          <w:b w:val="false"/>
          <w:bCs w:val="false"/>
          <w:i w:val="false"/>
          <w:iCs w:val="false"/>
          <w:color w:val="3E4431"/>
          <w:sz w:val="21"/>
          <w:szCs w:val="21"/>
        </w:rPr>
        <w:t xml:space="preserve">This work sits alongside conventional care, including any prescribed medication such as menopausal medication. You will never be asked to stop or reduce anything you have been prescribed.</w:t>
      </w:r>
    </w:p>
    <w:p>
      <w:pPr>
        <w:spacing w:after="100" w:before="260"/>
      </w:pPr>
      <w:r>
        <w:rPr>
          <w:rFonts w:ascii="Jost" w:cs="Jost" w:eastAsia="Jost" w:hAnsi="Jost"/>
          <w:b/>
          <w:bCs/>
          <w:color w:val="4D5732"/>
          <w:sz w:val="21"/>
          <w:szCs w:val="21"/>
        </w:rPr>
        <w:t xml:space="preserve">Your responsibility</w:t>
      </w:r>
    </w:p>
    <w:p>
      <w:pPr>
        <w:spacing w:after="150" w:line="300"/>
      </w:pPr>
      <w:r>
        <w:rPr>
          <w:rFonts w:ascii="Jost" w:cs="Jost" w:eastAsia="Jost" w:hAnsi="Jost"/>
          <w:b w:val="false"/>
          <w:bCs w:val="false"/>
          <w:i w:val="false"/>
          <w:iCs w:val="false"/>
          <w:color w:val="3E4431"/>
          <w:sz w:val="21"/>
          <w:szCs w:val="21"/>
        </w:rPr>
        <w:t xml:space="preserve">You take part voluntarily and you decide what is right for your body on the day. Stop a practice immediately if you experience dizziness, light-headedness, chest pain, breathing difficulty, severe discomfort, or anything unusual, and tell us at your next contact. In a medical emergency contact the emergency services on 112 or 999.</w:t>
      </w:r>
    </w:p>
    <w:p>
      <w:pPr>
        <w:spacing w:after="150" w:line="300"/>
      </w:pPr>
      <w:r>
        <w:rPr>
          <w:rFonts w:ascii="Jost" w:cs="Jost" w:eastAsia="Jost" w:hAnsi="Jost"/>
          <w:b w:val="false"/>
          <w:bCs w:val="false"/>
          <w:i w:val="false"/>
          <w:iCs w:val="false"/>
          <w:color w:val="3E4431"/>
          <w:sz w:val="21"/>
          <w:szCs w:val="21"/>
        </w:rPr>
        <w:t xml:space="preserve">Please also tell us promptly if your health, medication, or circumstances change during your enrolment. We will look at your screening again and adjust your protocol.</w:t>
      </w:r>
    </w:p>
    <w:p>
      <w:pPr>
        <w:spacing w:after="100" w:before="260"/>
      </w:pPr>
      <w:r>
        <w:rPr>
          <w:rFonts w:ascii="Jost" w:cs="Jost" w:eastAsia="Jost" w:hAnsi="Jost"/>
          <w:b/>
          <w:bCs/>
          <w:color w:val="4D5732"/>
          <w:sz w:val="21"/>
          <w:szCs w:val="21"/>
        </w:rPr>
        <w:t xml:space="preserve">Results</w:t>
      </w:r>
    </w:p>
    <w:p>
      <w:pPr>
        <w:spacing w:after="150" w:line="300"/>
      </w:pPr>
      <w:r>
        <w:rPr>
          <w:rFonts w:ascii="Jost" w:cs="Jost" w:eastAsia="Jost" w:hAnsi="Jost"/>
          <w:b w:val="false"/>
          <w:bCs w:val="false"/>
          <w:i w:val="false"/>
          <w:iCs w:val="false"/>
          <w:color w:val="3E4431"/>
          <w:sz w:val="21"/>
          <w:szCs w:val="21"/>
        </w:rPr>
        <w:t xml:space="preserve">Many clients experience meaningful changes in sleep, calmness, energy, and how their body feels day to day. We cannot promise a particular outcome, because your results depend on your consistency, your circumstances, and things outside anyone’s control.</w:t>
      </w:r>
    </w:p>
    <w:p>
      <w:pPr>
        <w:pStyle w:val="Heading1"/>
        <w:spacing w:after="140" w:before="380"/>
      </w:pPr>
      <w:r>
        <w:rPr>
          <w:rFonts w:ascii="Cormorant Garamond" w:cs="Cormorant Garamond" w:eastAsia="Cormorant Garamond" w:hAnsi="Cormorant Garamond"/>
          <w:b/>
          <w:bCs/>
          <w:i/>
          <w:iCs/>
          <w:color w:val="3E4431"/>
          <w:sz w:val="38"/>
          <w:szCs w:val="38"/>
        </w:rPr>
        <w:t xml:space="preserve">12. Our liability</w:t>
      </w:r>
    </w:p>
    <w:p>
      <w:pPr>
        <w:spacing w:after="150" w:line="300"/>
      </w:pPr>
      <w:r>
        <w:rPr>
          <w:rFonts w:ascii="Jost" w:cs="Jost" w:eastAsia="Jost" w:hAnsi="Jost"/>
          <w:b w:val="false"/>
          <w:bCs w:val="false"/>
          <w:i w:val="false"/>
          <w:iCs w:val="false"/>
          <w:color w:val="3E4431"/>
          <w:sz w:val="21"/>
          <w:szCs w:val="21"/>
        </w:rPr>
        <w:t xml:space="preserve">We take our responsibilities seriously and we carry professional indemnity insurance.</w:t>
      </w:r>
    </w:p>
    <w:p>
      <w:pPr>
        <w:spacing w:after="150" w:line="300"/>
      </w:pPr>
      <w:r>
        <w:rPr>
          <w:rFonts w:ascii="Jost" w:cs="Jost" w:eastAsia="Jost" w:hAnsi="Jost"/>
          <w:b w:val="false"/>
          <w:bCs w:val="false"/>
          <w:i w:val="false"/>
          <w:iCs w:val="false"/>
          <w:color w:val="3E4431"/>
          <w:sz w:val="21"/>
          <w:szCs w:val="21"/>
        </w:rPr>
        <w:t xml:space="preserve">Nothing in these terms limits or excludes our liability for death or personal injury caused by our negligence, for fraud, or for anything else that cannot lawfully be limited. Your statutory rights as a consumer are not affected by anything written here.</w:t>
      </w:r>
    </w:p>
    <w:p>
      <w:pPr>
        <w:spacing w:after="150" w:line="300"/>
      </w:pPr>
      <w:r>
        <w:rPr>
          <w:rFonts w:ascii="Jost" w:cs="Jost" w:eastAsia="Jost" w:hAnsi="Jost"/>
          <w:b w:val="false"/>
          <w:bCs w:val="false"/>
          <w:i w:val="false"/>
          <w:iCs w:val="false"/>
          <w:color w:val="3E4431"/>
          <w:sz w:val="21"/>
          <w:szCs w:val="21"/>
        </w:rPr>
        <w:t xml:space="preserve">Beyond that, our liability to you is limited to losses that were reasonably foreseeable at the time you enrolled, and does not extend to loss of profit, loss of opportunity, or losses arising from circumstances outside our reasonable control.</w:t>
      </w:r>
    </w:p>
    <w:p>
      <w:pPr>
        <w:pStyle w:val="Heading1"/>
        <w:spacing w:after="140" w:before="380"/>
      </w:pPr>
      <w:r>
        <w:rPr>
          <w:rFonts w:ascii="Cormorant Garamond" w:cs="Cormorant Garamond" w:eastAsia="Cormorant Garamond" w:hAnsi="Cormorant Garamond"/>
          <w:b/>
          <w:bCs/>
          <w:i/>
          <w:iCs/>
          <w:color w:val="3E4431"/>
          <w:sz w:val="38"/>
          <w:szCs w:val="38"/>
        </w:rPr>
        <w:t xml:space="preserve">13. Your data</w:t>
      </w:r>
    </w:p>
    <w:p>
      <w:pPr>
        <w:spacing w:after="150" w:line="300"/>
      </w:pPr>
      <w:r>
        <w:rPr>
          <w:rFonts w:ascii="Jost" w:cs="Jost" w:eastAsia="Jost" w:hAnsi="Jost"/>
          <w:b w:val="false"/>
          <w:bCs w:val="false"/>
          <w:i w:val="false"/>
          <w:iCs w:val="false"/>
          <w:color w:val="3E4431"/>
          <w:sz w:val="21"/>
          <w:szCs w:val="21"/>
        </w:rPr>
        <w:t xml:space="preserve">We collect your name, contact details, your health and intake screening responses, your weekly check-in responses, our session notes, and information about how you use our website. Payments are handled by Stripe and we never hold your card details.</w:t>
      </w:r>
    </w:p>
    <w:p>
      <w:pPr>
        <w:spacing w:after="150" w:line="300"/>
      </w:pPr>
      <w:r>
        <w:rPr>
          <w:rFonts w:ascii="Jost" w:cs="Jost" w:eastAsia="Jost" w:hAnsi="Jost"/>
          <w:b w:val="false"/>
          <w:bCs w:val="false"/>
          <w:i w:val="false"/>
          <w:iCs w:val="false"/>
          <w:color w:val="3E4431"/>
          <w:sz w:val="21"/>
          <w:szCs w:val="21"/>
        </w:rPr>
        <w:t xml:space="preserve">We do not sell, rent, or trade your information, and we never will. We share it only with the service providers who help us run the practice, each of whom is named in our Privacy Policy and each of whom processes it on our instructions.</w:t>
      </w:r>
    </w:p>
    <w:p>
      <w:pPr>
        <w:spacing w:after="150" w:line="300"/>
      </w:pPr>
      <w:r>
        <w:rPr>
          <w:rFonts w:ascii="Jost" w:cs="Jost" w:eastAsia="Jost" w:hAnsi="Jost"/>
          <w:b w:val="false"/>
          <w:bCs w:val="false"/>
          <w:i w:val="false"/>
          <w:iCs w:val="false"/>
          <w:color w:val="3E4431"/>
          <w:sz w:val="21"/>
          <w:szCs w:val="21"/>
        </w:rPr>
        <w:t xml:space="preserve">Your health information is treated as a special category of personal data. We hold it on the basis of the explicit consent you give on the screening form, which is separate from your acceptance of these terms and which you can withdraw at any time.</w:t>
      </w:r>
    </w:p>
    <w:p>
      <w:pPr>
        <w:spacing w:after="150" w:line="300"/>
      </w:pPr>
      <w:r>
        <w:rPr>
          <w:rFonts w:ascii="Jost" w:cs="Jost" w:eastAsia="Jost" w:hAnsi="Jost"/>
          <w:b w:val="false"/>
          <w:bCs w:val="false"/>
          <w:i w:val="false"/>
          <w:iCs w:val="false"/>
          <w:color w:val="3E4431"/>
          <w:sz w:val="21"/>
          <w:szCs w:val="21"/>
        </w:rPr>
        <w:t xml:space="preserve">Under the GDPR you can ask for a copy of your data, have it corrected, ask for it to be deleted, restrict or object to how we use it, ask for it in a portable format, or withdraw a consent. Email us to do any of those and we will respond within one month. There is no charge. Our full Privacy Policy, including how long we keep things and how to complain to the Data Protection Commission, is at sevenrivers-wellness.com.</w:t>
      </w:r>
    </w:p>
    <w:p>
      <w:pPr>
        <w:pStyle w:val="Heading1"/>
        <w:spacing w:after="140" w:before="380"/>
      </w:pPr>
      <w:r>
        <w:rPr>
          <w:rFonts w:ascii="Cormorant Garamond" w:cs="Cormorant Garamond" w:eastAsia="Cormorant Garamond" w:hAnsi="Cormorant Garamond"/>
          <w:b/>
          <w:bCs/>
          <w:i/>
          <w:iCs/>
          <w:color w:val="3E4431"/>
          <w:sz w:val="38"/>
          <w:szCs w:val="38"/>
        </w:rPr>
        <w:t xml:space="preserve">14. Complaints</w:t>
      </w:r>
    </w:p>
    <w:p>
      <w:pPr>
        <w:spacing w:after="150" w:line="300"/>
      </w:pPr>
      <w:r>
        <w:rPr>
          <w:rFonts w:ascii="Jost" w:cs="Jost" w:eastAsia="Jost" w:hAnsi="Jost"/>
          <w:b w:val="false"/>
          <w:bCs w:val="false"/>
          <w:i w:val="false"/>
          <w:iCs w:val="false"/>
          <w:color w:val="3E4431"/>
          <w:sz w:val="21"/>
          <w:szCs w:val="21"/>
        </w:rPr>
        <w:t xml:space="preserve">If something is not right, tell us. Write to Seven Rivers Wellness at info@sevenrivers-wellness.com setting out what happened and what you would like done about it.</w:t>
      </w:r>
    </w:p>
    <w:p>
      <w:pPr>
        <w:spacing w:after="150" w:line="300"/>
      </w:pPr>
      <w:r>
        <w:rPr>
          <w:rFonts w:ascii="Jost" w:cs="Jost" w:eastAsia="Jost" w:hAnsi="Jost"/>
          <w:b w:val="false"/>
          <w:bCs w:val="false"/>
          <w:i w:val="false"/>
          <w:iCs w:val="false"/>
          <w:color w:val="3E4431"/>
          <w:sz w:val="21"/>
          <w:szCs w:val="21"/>
        </w:rPr>
        <w:t xml:space="preserve">We will acknowledge you within five business days and give you a full response within twenty business days. If we need longer we will tell you why and when to expect it. Raising a complaint does not affect your enrolment or your statutory rights.</w:t>
      </w:r>
    </w:p>
    <w:p>
      <w:pPr>
        <w:pStyle w:val="Heading1"/>
        <w:spacing w:after="140" w:before="380"/>
      </w:pPr>
      <w:r>
        <w:rPr>
          <w:rFonts w:ascii="Cormorant Garamond" w:cs="Cormorant Garamond" w:eastAsia="Cormorant Garamond" w:hAnsi="Cormorant Garamond"/>
          <w:b/>
          <w:bCs/>
          <w:i/>
          <w:iCs/>
          <w:color w:val="3E4431"/>
          <w:sz w:val="38"/>
          <w:szCs w:val="38"/>
        </w:rPr>
        <w:t xml:space="preserve">15. Changes to these terms</w:t>
      </w:r>
    </w:p>
    <w:p>
      <w:pPr>
        <w:spacing w:after="150" w:line="300"/>
      </w:pPr>
      <w:r>
        <w:rPr>
          <w:rFonts w:ascii="Jost" w:cs="Jost" w:eastAsia="Jost" w:hAnsi="Jost"/>
          <w:b w:val="false"/>
          <w:bCs w:val="false"/>
          <w:i w:val="false"/>
          <w:iCs w:val="false"/>
          <w:color w:val="3E4431"/>
          <w:sz w:val="21"/>
          <w:szCs w:val="21"/>
        </w:rPr>
        <w:t xml:space="preserve">We may update these terms from time to time. If a change affects you, we will tell you by email at least thirty days before it takes effect. If you do not want to accept it, you may cancel without penalty before the change applies, and we will refund anything you have paid for a period not yet delivered.</w:t>
      </w:r>
    </w:p>
    <w:p>
      <w:pPr>
        <w:pStyle w:val="Heading1"/>
        <w:spacing w:after="140" w:before="380"/>
      </w:pPr>
      <w:r>
        <w:rPr>
          <w:rFonts w:ascii="Cormorant Garamond" w:cs="Cormorant Garamond" w:eastAsia="Cormorant Garamond" w:hAnsi="Cormorant Garamond"/>
          <w:b/>
          <w:bCs/>
          <w:i/>
          <w:iCs/>
          <w:color w:val="3E4431"/>
          <w:sz w:val="38"/>
          <w:szCs w:val="38"/>
        </w:rPr>
        <w:t xml:space="preserve">16. Agreement</w:t>
      </w:r>
    </w:p>
    <w:p>
      <w:pPr>
        <w:spacing w:after="150" w:line="300"/>
      </w:pPr>
      <w:r>
        <w:rPr>
          <w:rFonts w:ascii="Jost" w:cs="Jost" w:eastAsia="Jost" w:hAnsi="Jost"/>
          <w:b w:val="false"/>
          <w:bCs w:val="false"/>
          <w:i w:val="false"/>
          <w:iCs w:val="false"/>
          <w:color w:val="3E4431"/>
          <w:sz w:val="21"/>
          <w:szCs w:val="21"/>
        </w:rPr>
        <w:t xml:space="preserve">By completing your enrolment you confirm that:</w:t>
      </w:r>
    </w:p>
    <w:p>
      <w:pPr>
        <w:spacing w:after="100" w:line="300"/>
        <w:ind w:left="400" w:hanging="220"/>
      </w:pPr>
      <w:r>
        <w:rPr>
          <w:rFonts w:ascii="Jost" w:cs="Jost" w:eastAsia="Jost" w:hAnsi="Jost"/>
          <w:color w:val="3E4431"/>
          <w:sz w:val="21"/>
          <w:szCs w:val="21"/>
        </w:rPr>
        <w:t xml:space="preserve">•   You have read and agree to these Terms and Conditions and our Privacy Policy, including the health and safety section above.</w:t>
      </w:r>
    </w:p>
    <w:p>
      <w:pPr>
        <w:spacing w:after="100" w:line="300"/>
        <w:ind w:left="400" w:hanging="220"/>
      </w:pPr>
      <w:r>
        <w:rPr>
          <w:rFonts w:ascii="Jost" w:cs="Jost" w:eastAsia="Jost" w:hAnsi="Jost"/>
          <w:color w:val="3E4431"/>
          <w:sz w:val="21"/>
          <w:szCs w:val="21"/>
        </w:rPr>
        <w:t xml:space="preserve">•   You understand the structure, the price, and the commitment length you have chosen.</w:t>
      </w:r>
    </w:p>
    <w:p>
      <w:pPr>
        <w:spacing w:after="100" w:line="300"/>
        <w:ind w:left="400" w:hanging="220"/>
      </w:pPr>
      <w:r>
        <w:rPr>
          <w:rFonts w:ascii="Jost" w:cs="Jost" w:eastAsia="Jost" w:hAnsi="Jost"/>
          <w:color w:val="3E4431"/>
          <w:sz w:val="21"/>
          <w:szCs w:val="21"/>
        </w:rPr>
        <w:t xml:space="preserve">•   You are over eighteen and able to enter this agreement.</w:t>
      </w:r>
    </w:p>
    <w:p>
      <w:pPr>
        <w:spacing w:after="80"/>
      </w:pPr>
    </w:p>
    <w:p>
      <w:pPr>
        <w:spacing w:after="150" w:line="300"/>
      </w:pPr>
      <w:r>
        <w:rPr>
          <w:rFonts w:ascii="Jost" w:cs="Jost" w:eastAsia="Jost" w:hAnsi="Jost"/>
          <w:b w:val="false"/>
          <w:bCs w:val="false"/>
          <w:i w:val="false"/>
          <w:iCs w:val="false"/>
          <w:color w:val="3E4431"/>
          <w:sz w:val="21"/>
          <w:szCs w:val="21"/>
        </w:rPr>
        <w:t xml:space="preserve">These terms are governed by the law of the Republic of Ireland. If you live elsewhere in the European Union, you keep the benefit of any consumer protection that applies in your own country.</w:t>
      </w:r>
    </w:p>
    <w:p>
      <w:pPr>
        <w:spacing w:after="280"/>
      </w:pPr>
    </w:p>
    <w:p>
      <w:pPr>
        <w:pBdr>
          <w:top w:val="single" w:color="4D5732" w:sz="6" w:space="8"/>
        </w:pBdr>
        <w:spacing w:before="200"/>
      </w:pPr>
      <w:r>
        <w:rPr>
          <w:rFonts w:ascii="Jost" w:cs="Jost" w:eastAsia="Jost" w:hAnsi="Jost"/>
          <w:color w:val="4D5732"/>
          <w:sz w:val="17"/>
          <w:szCs w:val="17"/>
        </w:rPr>
        <w:t xml:space="preserve">Version 2.3. © 2025 to 2026 Seven Rivers Wellness. Kylebrack, Loughrea, Co. Galway, Republic of Ireland. info@sevenrivers-wellness.com</w:t>
      </w:r>
    </w:p>
    <w:sectPr>
      <w:pgSz w:w="11906" w:h="16838" w:orient="portrait"/>
      <w:pgMar w:top="1100" w:right="1180" w:bottom="110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Jost" w:cs="Jost" w:eastAsia="Jost" w:hAnsi="Jost"/>
        <w:color w:val="3E4431"/>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1-to-1 Coaching Terms and Conditions v2.3</dc:title>
  <dc:creator>Seven Rivers Wellness</dc:creator>
  <cp:lastModifiedBy>Un-named</cp:lastModifiedBy>
  <cp:revision>1</cp:revision>
  <dcterms:created xsi:type="dcterms:W3CDTF">2026-08-12T13:41:48.560Z</dcterms:created>
  <dcterms:modified xsi:type="dcterms:W3CDTF">2026-08-12T13:41:48.579Z</dcterms:modified>
</cp:coreProperties>
</file>

<file path=docProps/custom.xml><?xml version="1.0" encoding="utf-8"?>
<Properties xmlns="http://schemas.openxmlformats.org/officeDocument/2006/custom-properties" xmlns:vt="http://schemas.openxmlformats.org/officeDocument/2006/docPropsVTypes"/>
</file>