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rFonts w:ascii="Jost" w:cs="Jost" w:eastAsia="Jost" w:hAnsi="Jost"/>
          <w:color w:val="4D5732"/>
          <w:spacing w:val="60"/>
          <w:sz w:val="17"/>
          <w:szCs w:val="17"/>
        </w:rPr>
        <w:t xml:space="preserve">SEVEN RIVERS WELLNESS</w:t>
      </w:r>
    </w:p>
    <w:p>
      <w:pPr>
        <w:spacing w:after="100"/>
      </w:pPr>
      <w:r>
        <w:rPr>
          <w:rFonts w:ascii="Cormorant Garamond" w:cs="Cormorant Garamond" w:eastAsia="Cormorant Garamond" w:hAnsi="Cormorant Garamond"/>
          <w:b/>
          <w:bCs/>
          <w:i/>
          <w:iCs/>
          <w:color w:val="3E4431"/>
          <w:sz w:val="50"/>
          <w:szCs w:val="50"/>
        </w:rPr>
        <w:t xml:space="preserve">Privacy Policy</w:t>
      </w:r>
    </w:p>
    <w:p>
      <w:pPr>
        <w:pBdr>
          <w:bottom w:val="single" w:color="4D5732" w:sz="6" w:space="8"/>
        </w:pBdr>
        <w:spacing w:after="240"/>
      </w:pPr>
      <w:r>
        <w:rPr>
          <w:rFonts w:ascii="Jost" w:cs="Jost" w:eastAsia="Jost" w:hAnsi="Jost"/>
          <w:color w:val="4D5732"/>
          <w:sz w:val="20"/>
          <w:szCs w:val="20"/>
        </w:rPr>
        <w:t xml:space="preserve">Version 1.1. Effective from the date of publication. This policy explains what personal information we collect, why, what we do with it, how long we keep it, and what you can ask us to do about it.</w:t>
      </w:r>
    </w:p>
    <w:p>
      <w:pPr>
        <w:pStyle w:val="Heading1"/>
        <w:spacing w:after="140" w:before="380"/>
      </w:pPr>
      <w:r>
        <w:rPr>
          <w:rFonts w:ascii="Cormorant Garamond" w:cs="Cormorant Garamond" w:eastAsia="Cormorant Garamond" w:hAnsi="Cormorant Garamond"/>
          <w:b/>
          <w:bCs/>
          <w:i/>
          <w:iCs/>
          <w:color w:val="3E4431"/>
          <w:sz w:val="38"/>
          <w:szCs w:val="38"/>
        </w:rPr>
        <w:t xml:space="preserve">1. Who we are</w:t>
      </w:r>
    </w:p>
    <w:p>
      <w:pPr>
        <w:spacing w:after="150" w:line="300"/>
      </w:pPr>
      <w:r>
        <w:rPr>
          <w:rFonts w:ascii="Jost" w:cs="Jost" w:eastAsia="Jost" w:hAnsi="Jost"/>
          <w:b w:val="false"/>
          <w:bCs w:val="false"/>
          <w:i w:val="false"/>
          <w:iCs w:val="false"/>
          <w:color w:val="3E4431"/>
          <w:sz w:val="21"/>
          <w:szCs w:val="21"/>
        </w:rPr>
        <w:t xml:space="preserve">Seven Rivers Wellness is a partnership between Matt Dunham and Sandra Dunham, based in the Republic of Ireland. The partnership is the data controller for the personal information described in this policy, which means we decide what is collected and what happens to it.</w:t>
      </w:r>
    </w:p>
    <w:p>
      <w:pPr>
        <w:spacing w:after="150" w:line="300"/>
      </w:pPr>
      <w:r>
        <w:rPr>
          <w:rFonts w:ascii="Jost" w:cs="Jost" w:eastAsia="Jost" w:hAnsi="Jost"/>
          <w:b w:val="false"/>
          <w:bCs w:val="false"/>
          <w:i w:val="false"/>
          <w:iCs w:val="false"/>
          <w:color w:val="3E4431"/>
          <w:sz w:val="21"/>
          <w:szCs w:val="21"/>
        </w:rPr>
        <w:t xml:space="preserve">Address: Kylebrack, Loughrea, Co. Galway, Republic of Ireland.</w:t>
      </w:r>
    </w:p>
    <w:p>
      <w:pPr>
        <w:spacing w:after="150" w:line="300"/>
      </w:pPr>
      <w:r>
        <w:rPr>
          <w:rFonts w:ascii="Jost" w:cs="Jost" w:eastAsia="Jost" w:hAnsi="Jost"/>
          <w:b w:val="false"/>
          <w:bCs w:val="false"/>
          <w:i w:val="false"/>
          <w:iCs w:val="false"/>
          <w:color w:val="3E4431"/>
          <w:sz w:val="21"/>
          <w:szCs w:val="21"/>
        </w:rPr>
        <w:t xml:space="preserve">Email: info@sevenrivers-wellness.com</w:t>
      </w:r>
    </w:p>
    <w:p>
      <w:pPr>
        <w:spacing w:after="150" w:line="300"/>
      </w:pPr>
      <w:r>
        <w:rPr>
          <w:rFonts w:ascii="Jost" w:cs="Jost" w:eastAsia="Jost" w:hAnsi="Jost"/>
          <w:b w:val="false"/>
          <w:bCs w:val="false"/>
          <w:i w:val="false"/>
          <w:iCs w:val="false"/>
          <w:color w:val="3E4431"/>
          <w:sz w:val="21"/>
          <w:szCs w:val="21"/>
        </w:rPr>
        <w:t xml:space="preserve">Website: sevenrivers-wellness.com</w:t>
      </w:r>
    </w:p>
    <w:p>
      <w:pPr>
        <w:spacing w:after="150" w:line="300"/>
      </w:pPr>
      <w:r>
        <w:rPr>
          <w:rFonts w:ascii="Jost" w:cs="Jost" w:eastAsia="Jost" w:hAnsi="Jost"/>
          <w:b w:val="false"/>
          <w:bCs w:val="false"/>
          <w:i w:val="false"/>
          <w:iCs w:val="false"/>
          <w:color w:val="3E4431"/>
          <w:sz w:val="21"/>
          <w:szCs w:val="21"/>
        </w:rPr>
        <w:t xml:space="preserve">Both partners deliver sessions and both may have access to your records for that purpose. Each partner also operates a separate practice, Matt Dunham Wellness and One Life Holistics. Those practices are not part of Seven Rivers Wellness, and nothing you give us here is shared with them.</w:t>
      </w:r>
    </w:p>
    <w:p>
      <w:pPr>
        <w:spacing w:after="150" w:line="300"/>
      </w:pPr>
      <w:r>
        <w:rPr>
          <w:rFonts w:ascii="Jost" w:cs="Jost" w:eastAsia="Jost" w:hAnsi="Jost"/>
          <w:b w:val="false"/>
          <w:bCs w:val="false"/>
          <w:i w:val="false"/>
          <w:iCs w:val="false"/>
          <w:color w:val="3E4431"/>
          <w:sz w:val="21"/>
          <w:szCs w:val="21"/>
        </w:rPr>
        <w:t xml:space="preserve">This policy is written in accordance with the General Data Protection Regulation and the Data Protection Acts 1988 to 2018. We are not required to appoint a Data Protection Officer. Any question about your information should go to the email address above.</w:t>
      </w:r>
    </w:p>
    <w:p>
      <w:pPr>
        <w:pStyle w:val="Heading1"/>
        <w:spacing w:after="140" w:before="380"/>
      </w:pPr>
      <w:r>
        <w:rPr>
          <w:rFonts w:ascii="Cormorant Garamond" w:cs="Cormorant Garamond" w:eastAsia="Cormorant Garamond" w:hAnsi="Cormorant Garamond"/>
          <w:b/>
          <w:bCs/>
          <w:i/>
          <w:iCs/>
          <w:color w:val="3E4431"/>
          <w:sz w:val="38"/>
          <w:szCs w:val="38"/>
        </w:rPr>
        <w:t xml:space="preserve">2. What we collect</w:t>
      </w:r>
    </w:p>
    <w:p>
      <w:pPr>
        <w:spacing w:after="150" w:line="300"/>
      </w:pPr>
      <w:r>
        <w:rPr>
          <w:rFonts w:ascii="Jost" w:cs="Jost" w:eastAsia="Jost" w:hAnsi="Jost"/>
          <w:b w:val="false"/>
          <w:bCs w:val="false"/>
          <w:i w:val="false"/>
          <w:iCs w:val="false"/>
          <w:color w:val="3E4431"/>
          <w:sz w:val="21"/>
          <w:szCs w:val="21"/>
        </w:rPr>
        <w:t xml:space="preserve">We collect only what we need in order to deliver our services.</w:t>
      </w:r>
    </w:p>
    <w:p>
      <w:pPr>
        <w:spacing w:after="100" w:before="250"/>
      </w:pPr>
      <w:r>
        <w:rPr>
          <w:rFonts w:ascii="Jost" w:cs="Jost" w:eastAsia="Jost" w:hAnsi="Jost"/>
          <w:b/>
          <w:bCs/>
          <w:color w:val="4D5732"/>
          <w:sz w:val="21"/>
          <w:szCs w:val="21"/>
        </w:rPr>
        <w:t xml:space="preserve">Identity and contact information</w:t>
      </w:r>
    </w:p>
    <w:p>
      <w:pPr>
        <w:spacing w:after="150" w:line="300"/>
      </w:pPr>
      <w:r>
        <w:rPr>
          <w:rFonts w:ascii="Jost" w:cs="Jost" w:eastAsia="Jost" w:hAnsi="Jost"/>
          <w:b w:val="false"/>
          <w:bCs w:val="false"/>
          <w:i w:val="false"/>
          <w:iCs w:val="false"/>
          <w:color w:val="3E4431"/>
          <w:sz w:val="21"/>
          <w:szCs w:val="21"/>
        </w:rPr>
        <w:t xml:space="preserve">Your name, email address and telephone number, collected when you download a free resource, book a discovery call, enquire, or enrol.</w:t>
      </w:r>
    </w:p>
    <w:p>
      <w:pPr>
        <w:spacing w:after="100" w:before="250"/>
      </w:pPr>
      <w:r>
        <w:rPr>
          <w:rFonts w:ascii="Jost" w:cs="Jost" w:eastAsia="Jost" w:hAnsi="Jost"/>
          <w:b/>
          <w:bCs/>
          <w:color w:val="4D5732"/>
          <w:sz w:val="21"/>
          <w:szCs w:val="21"/>
        </w:rPr>
        <w:t xml:space="preserve">Enrolment information</w:t>
      </w:r>
    </w:p>
    <w:p>
      <w:pPr>
        <w:spacing w:after="150" w:line="300"/>
      </w:pPr>
      <w:r>
        <w:rPr>
          <w:rFonts w:ascii="Jost" w:cs="Jost" w:eastAsia="Jost" w:hAnsi="Jost"/>
          <w:b w:val="false"/>
          <w:bCs w:val="false"/>
          <w:i w:val="false"/>
          <w:iCs w:val="false"/>
          <w:color w:val="3E4431"/>
          <w:sz w:val="21"/>
          <w:szCs w:val="21"/>
        </w:rPr>
        <w:t xml:space="preserve">If you enrol on 1-to-1 Coaching we also collect your date of birth, home address, occupation and typical working pattern, country and time zone, your preferred contact method, and the name, relationship and telephone number of an emergency contact.</w:t>
      </w:r>
    </w:p>
    <w:p>
      <w:pPr>
        <w:spacing w:after="150" w:line="300"/>
      </w:pPr>
      <w:r>
        <w:rPr>
          <w:rFonts w:ascii="Jost" w:cs="Jost" w:eastAsia="Jost" w:hAnsi="Jost"/>
          <w:b w:val="false"/>
          <w:bCs w:val="false"/>
          <w:i w:val="false"/>
          <w:iCs w:val="false"/>
          <w:color w:val="3E4431"/>
          <w:sz w:val="21"/>
          <w:szCs w:val="21"/>
        </w:rPr>
        <w:t xml:space="preserve">We ask for an emergency contact as a standard safety measure and we would only use it in a genuine emergency. Please let that person know you have given us their details, since they have the same rights over their information as you have over yours.</w:t>
      </w:r>
    </w:p>
    <w:p>
      <w:pPr>
        <w:spacing w:after="100" w:before="250"/>
      </w:pPr>
      <w:r>
        <w:rPr>
          <w:rFonts w:ascii="Jost" w:cs="Jost" w:eastAsia="Jost" w:hAnsi="Jost"/>
          <w:b/>
          <w:bCs/>
          <w:color w:val="4D5732"/>
          <w:sz w:val="21"/>
          <w:szCs w:val="21"/>
        </w:rPr>
        <w:t xml:space="preserve">Enquiry and booking information</w:t>
      </w:r>
    </w:p>
    <w:p>
      <w:pPr>
        <w:spacing w:after="150" w:line="300"/>
      </w:pPr>
      <w:r>
        <w:rPr>
          <w:rFonts w:ascii="Jost" w:cs="Jost" w:eastAsia="Jost" w:hAnsi="Jost"/>
          <w:b w:val="false"/>
          <w:bCs w:val="false"/>
          <w:i w:val="false"/>
          <w:iCs w:val="false"/>
          <w:color w:val="3E4431"/>
          <w:sz w:val="21"/>
          <w:szCs w:val="21"/>
        </w:rPr>
        <w:t xml:space="preserve">When you book a discovery call you answer a small number of questions about your situation and what prompted you to get in touch. It is free text and you decide what to put in it.</w:t>
      </w:r>
    </w:p>
    <w:p>
      <w:pPr>
        <w:spacing w:after="100" w:before="250"/>
      </w:pPr>
      <w:r>
        <w:rPr>
          <w:rFonts w:ascii="Jost" w:cs="Jost" w:eastAsia="Jost" w:hAnsi="Jost"/>
          <w:b/>
          <w:bCs/>
          <w:color w:val="4D5732"/>
          <w:sz w:val="21"/>
          <w:szCs w:val="21"/>
        </w:rPr>
        <w:t xml:space="preserve">Health information</w:t>
      </w:r>
    </w:p>
    <w:p>
      <w:pPr>
        <w:spacing w:after="150" w:line="300"/>
      </w:pPr>
      <w:r>
        <w:rPr>
          <w:rFonts w:ascii="Jost" w:cs="Jost" w:eastAsia="Jost" w:hAnsi="Jost"/>
          <w:b w:val="false"/>
          <w:bCs w:val="false"/>
          <w:i w:val="false"/>
          <w:iCs w:val="false"/>
          <w:color w:val="3E4431"/>
          <w:sz w:val="21"/>
          <w:szCs w:val="21"/>
        </w:rPr>
        <w:t xml:space="preserve">If you enrol on 1-to-1 Coaching we collect health information about you. It is treated separately and more carefully than anything else here, and section 3 sets it out in full.</w:t>
      </w:r>
    </w:p>
    <w:p>
      <w:pPr>
        <w:spacing w:after="100" w:before="250"/>
      </w:pPr>
      <w:r>
        <w:rPr>
          <w:rFonts w:ascii="Jost" w:cs="Jost" w:eastAsia="Jost" w:hAnsi="Jost"/>
          <w:b/>
          <w:bCs/>
          <w:color w:val="4D5732"/>
          <w:sz w:val="21"/>
          <w:szCs w:val="21"/>
        </w:rPr>
        <w:t xml:space="preserve">Lifestyle information</w:t>
      </w:r>
    </w:p>
    <w:p>
      <w:pPr>
        <w:spacing w:after="150" w:line="300"/>
      </w:pPr>
      <w:r>
        <w:rPr>
          <w:rFonts w:ascii="Jost" w:cs="Jost" w:eastAsia="Jost" w:hAnsi="Jost"/>
          <w:b w:val="false"/>
          <w:bCs w:val="false"/>
          <w:i w:val="false"/>
          <w:iCs w:val="false"/>
          <w:color w:val="3E4431"/>
          <w:sz w:val="21"/>
          <w:szCs w:val="21"/>
        </w:rPr>
        <w:t xml:space="preserve">As part of your screening we ask about sleep, alcohol, caffeine and water intake, physical activity, and optionally height and weight. You can leave any of it blank.</w:t>
      </w:r>
    </w:p>
    <w:p>
      <w:pPr>
        <w:spacing w:after="100" w:before="250"/>
      </w:pPr>
      <w:r>
        <w:rPr>
          <w:rFonts w:ascii="Jost" w:cs="Jost" w:eastAsia="Jost" w:hAnsi="Jost"/>
          <w:b/>
          <w:bCs/>
          <w:color w:val="4D5732"/>
          <w:sz w:val="21"/>
          <w:szCs w:val="21"/>
        </w:rPr>
        <w:t xml:space="preserve">Payment information</w:t>
      </w:r>
    </w:p>
    <w:p>
      <w:pPr>
        <w:spacing w:after="150" w:line="300"/>
      </w:pPr>
      <w:r>
        <w:rPr>
          <w:rFonts w:ascii="Jost" w:cs="Jost" w:eastAsia="Jost" w:hAnsi="Jost"/>
          <w:b w:val="false"/>
          <w:bCs w:val="false"/>
          <w:i w:val="false"/>
          <w:iCs w:val="false"/>
          <w:color w:val="3E4431"/>
          <w:sz w:val="21"/>
          <w:szCs w:val="21"/>
        </w:rPr>
        <w:t xml:space="preserve">Payments are processed by Stripe. We can see that a payment was made, for what, and when. We never see or hold your card details.</w:t>
      </w:r>
    </w:p>
    <w:p>
      <w:pPr>
        <w:spacing w:after="100" w:before="250"/>
      </w:pPr>
      <w:r>
        <w:rPr>
          <w:rFonts w:ascii="Jost" w:cs="Jost" w:eastAsia="Jost" w:hAnsi="Jost"/>
          <w:b/>
          <w:bCs/>
          <w:color w:val="4D5732"/>
          <w:sz w:val="21"/>
          <w:szCs w:val="21"/>
        </w:rPr>
        <w:t xml:space="preserve">Communications</w:t>
      </w:r>
    </w:p>
    <w:p>
      <w:pPr>
        <w:spacing w:after="150" w:line="300"/>
      </w:pPr>
      <w:r>
        <w:rPr>
          <w:rFonts w:ascii="Jost" w:cs="Jost" w:eastAsia="Jost" w:hAnsi="Jost"/>
          <w:b w:val="false"/>
          <w:bCs w:val="false"/>
          <w:i w:val="false"/>
          <w:iCs w:val="false"/>
          <w:color w:val="3E4431"/>
          <w:sz w:val="21"/>
          <w:szCs w:val="21"/>
        </w:rPr>
        <w:t xml:space="preserve">Emails and messages between us, including WhatsApp messages, and our notes of what was discussed.</w:t>
      </w:r>
    </w:p>
    <w:p>
      <w:pPr>
        <w:spacing w:after="100" w:before="250"/>
      </w:pPr>
      <w:r>
        <w:rPr>
          <w:rFonts w:ascii="Jost" w:cs="Jost" w:eastAsia="Jost" w:hAnsi="Jost"/>
          <w:b/>
          <w:bCs/>
          <w:color w:val="4D5732"/>
          <w:sz w:val="21"/>
          <w:szCs w:val="21"/>
        </w:rPr>
        <w:t xml:space="preserve">Website usage</w:t>
      </w:r>
    </w:p>
    <w:p>
      <w:pPr>
        <w:spacing w:after="150" w:line="300"/>
      </w:pPr>
      <w:r>
        <w:rPr>
          <w:rFonts w:ascii="Jost" w:cs="Jost" w:eastAsia="Jost" w:hAnsi="Jost"/>
          <w:b w:val="false"/>
          <w:bCs w:val="false"/>
          <w:i w:val="false"/>
          <w:iCs w:val="false"/>
          <w:color w:val="3E4431"/>
          <w:sz w:val="21"/>
          <w:szCs w:val="21"/>
        </w:rPr>
        <w:t xml:space="preserve">Information about how visitors use the site, collected through cookies. Section 11 explains what is used and how you control it.</w:t>
      </w:r>
    </w:p>
    <w:p>
      <w:r>
        <w:br w:type="page"/>
      </w:r>
    </w:p>
    <w:p>
      <w:pPr>
        <w:pStyle w:val="Heading1"/>
        <w:spacing w:after="140" w:before="380"/>
      </w:pPr>
      <w:r>
        <w:rPr>
          <w:rFonts w:ascii="Cormorant Garamond" w:cs="Cormorant Garamond" w:eastAsia="Cormorant Garamond" w:hAnsi="Cormorant Garamond"/>
          <w:b/>
          <w:bCs/>
          <w:i/>
          <w:iCs/>
          <w:color w:val="3E4431"/>
          <w:sz w:val="38"/>
          <w:szCs w:val="38"/>
        </w:rPr>
        <w:t xml:space="preserve">3. Health information</w:t>
      </w:r>
    </w:p>
    <w:p>
      <w:pPr>
        <w:spacing w:after="150" w:line="300"/>
      </w:pPr>
      <w:r>
        <w:rPr>
          <w:rFonts w:ascii="Jost" w:cs="Jost" w:eastAsia="Jost" w:hAnsi="Jost"/>
          <w:b w:val="false"/>
          <w:bCs w:val="false"/>
          <w:i w:val="false"/>
          <w:iCs w:val="false"/>
          <w:color w:val="3E4431"/>
          <w:sz w:val="21"/>
          <w:szCs w:val="21"/>
        </w:rPr>
        <w:t xml:space="preserve">Health data is a special category of personal data under Article 9 of the GDPR. It carries stronger protection than ordinary information and we hold it on a narrower basis.</w:t>
      </w:r>
    </w:p>
    <w:p>
      <w:pPr>
        <w:spacing w:after="100" w:before="250"/>
      </w:pPr>
      <w:r>
        <w:rPr>
          <w:rFonts w:ascii="Jost" w:cs="Jost" w:eastAsia="Jost" w:hAnsi="Jost"/>
          <w:b/>
          <w:bCs/>
          <w:color w:val="4D5732"/>
          <w:sz w:val="21"/>
          <w:szCs w:val="21"/>
        </w:rPr>
        <w:t xml:space="preserve">What we collect</w:t>
      </w:r>
    </w:p>
    <w:p>
      <w:pPr>
        <w:spacing w:after="100" w:line="300"/>
        <w:ind w:left="400" w:hanging="220"/>
      </w:pPr>
      <w:r>
        <w:rPr>
          <w:rFonts w:ascii="Jost" w:cs="Jost" w:eastAsia="Jost" w:hAnsi="Jost"/>
          <w:color w:val="3E4431"/>
          <w:sz w:val="21"/>
          <w:szCs w:val="21"/>
        </w:rPr>
        <w:t xml:space="preserve">•   Your health and intake screening, completed before your first call. This covers pregnancy, cardiovascular and respiratory conditions, mental health, medication affecting breathing, heart rate or blood pressure, injuries, chronic pain, and anything else you tell us is relevant.</w:t>
      </w:r>
    </w:p>
    <w:p>
      <w:pPr>
        <w:spacing w:after="100" w:line="300"/>
        <w:ind w:left="400" w:hanging="220"/>
      </w:pPr>
      <w:r>
        <w:rPr>
          <w:rFonts w:ascii="Jost" w:cs="Jost" w:eastAsia="Jost" w:hAnsi="Jost"/>
          <w:color w:val="3E4431"/>
          <w:sz w:val="21"/>
          <w:szCs w:val="21"/>
        </w:rPr>
        <w:t xml:space="preserve">•   Your weekly check-in responses: your own ratings of sleep, calmness, physical relaxation, energy, mood stability and practice consistency, your breath hold measurement, and any notes you add.</w:t>
      </w:r>
    </w:p>
    <w:p>
      <w:pPr>
        <w:spacing w:after="100" w:line="300"/>
        <w:ind w:left="400" w:hanging="220"/>
      </w:pPr>
      <w:r>
        <w:rPr>
          <w:rFonts w:ascii="Jost" w:cs="Jost" w:eastAsia="Jost" w:hAnsi="Jost"/>
          <w:color w:val="3E4431"/>
          <w:sz w:val="21"/>
          <w:szCs w:val="21"/>
        </w:rPr>
        <w:t xml:space="preserve">•   Notes made by your practitioner recording what was discussed and agreed, so your work carries forward properly week to week.</w:t>
      </w:r>
    </w:p>
    <w:p>
      <w:pPr>
        <w:spacing w:after="100" w:before="250"/>
      </w:pPr>
      <w:r>
        <w:rPr>
          <w:rFonts w:ascii="Jost" w:cs="Jost" w:eastAsia="Jost" w:hAnsi="Jost"/>
          <w:b/>
          <w:bCs/>
          <w:color w:val="4D5732"/>
          <w:sz w:val="21"/>
          <w:szCs w:val="21"/>
        </w:rPr>
        <w:t xml:space="preserve">Why we collect it</w:t>
      </w:r>
    </w:p>
    <w:p>
      <w:pPr>
        <w:spacing w:after="150" w:line="300"/>
      </w:pPr>
      <w:r>
        <w:rPr>
          <w:rFonts w:ascii="Jost" w:cs="Jost" w:eastAsia="Jost" w:hAnsi="Jost"/>
          <w:b w:val="false"/>
          <w:bCs w:val="false"/>
          <w:i w:val="false"/>
          <w:iCs w:val="false"/>
          <w:color w:val="3E4431"/>
          <w:sz w:val="21"/>
          <w:szCs w:val="21"/>
        </w:rPr>
        <w:t xml:space="preserve">For two reasons only. To deliver your programme safely, because some breathing practices are not suitable in certain circumstances and we cannot know that unless you tell us. And to keep a proper record of the work, which responsible practice and our professional insurance both require.</w:t>
      </w:r>
    </w:p>
    <w:p>
      <w:pPr>
        <w:spacing w:after="100" w:before="250"/>
      </w:pPr>
      <w:r>
        <w:rPr>
          <w:rFonts w:ascii="Jost" w:cs="Jost" w:eastAsia="Jost" w:hAnsi="Jost"/>
          <w:b/>
          <w:bCs/>
          <w:color w:val="4D5732"/>
          <w:sz w:val="21"/>
          <w:szCs w:val="21"/>
        </w:rPr>
        <w:t xml:space="preserve">Our lawful basis</w:t>
      </w:r>
    </w:p>
    <w:p>
      <w:pPr>
        <w:spacing w:after="150" w:line="300"/>
      </w:pPr>
      <w:r>
        <w:rPr>
          <w:rFonts w:ascii="Jost" w:cs="Jost" w:eastAsia="Jost" w:hAnsi="Jost"/>
          <w:b w:val="false"/>
          <w:bCs w:val="false"/>
          <w:i w:val="false"/>
          <w:iCs w:val="false"/>
          <w:color w:val="3E4431"/>
          <w:sz w:val="21"/>
          <w:szCs w:val="21"/>
        </w:rPr>
        <w:t xml:space="preserve">We rely on your explicit consent under Article 9(2)(a). You give that consent by a specific, separate tick on the health and intake screening form. It is not bundled into your acceptance of our Terms and Conditions and you can decline it on its own.</w:t>
      </w:r>
    </w:p>
    <w:p>
      <w:pPr>
        <w:spacing w:after="150" w:line="300"/>
      </w:pPr>
      <w:r>
        <w:rPr>
          <w:rFonts w:ascii="Jost" w:cs="Jost" w:eastAsia="Jost" w:hAnsi="Jost"/>
          <w:b w:val="false"/>
          <w:bCs w:val="false"/>
          <w:i w:val="false"/>
          <w:iCs w:val="false"/>
          <w:color w:val="3E4431"/>
          <w:sz w:val="21"/>
          <w:szCs w:val="21"/>
        </w:rPr>
        <w:t xml:space="preserve">You may withdraw that consent at any time by emailing us. Withdrawal does not affect anything lawfully done beforehand. We should be straightforward with you about the consequence: without screening information we cannot deliver the breath element of the programme safely, and we would need to talk to you about whether the programme can continue.</w:t>
      </w:r>
    </w:p>
    <w:p>
      <w:pPr>
        <w:spacing w:after="100" w:before="250"/>
      </w:pPr>
      <w:r>
        <w:rPr>
          <w:rFonts w:ascii="Jost" w:cs="Jost" w:eastAsia="Jost" w:hAnsi="Jost"/>
          <w:b/>
          <w:bCs/>
          <w:color w:val="4D5732"/>
          <w:sz w:val="21"/>
          <w:szCs w:val="21"/>
        </w:rPr>
        <w:t xml:space="preserve">Who sees it</w:t>
      </w:r>
    </w:p>
    <w:p>
      <w:pPr>
        <w:spacing w:after="150" w:line="300"/>
      </w:pPr>
      <w:r>
        <w:rPr>
          <w:rFonts w:ascii="Jost" w:cs="Jost" w:eastAsia="Jost" w:hAnsi="Jost"/>
          <w:b w:val="false"/>
          <w:bCs w:val="false"/>
          <w:i w:val="false"/>
          <w:iCs w:val="false"/>
          <w:color w:val="3E4431"/>
          <w:sz w:val="21"/>
          <w:szCs w:val="21"/>
        </w:rPr>
        <w:t xml:space="preserve">Your practitioner, and where both partners are involved in your work, both of them. Nobody else. It is not used for marketing, it is not used for research, and it is never shared with an employer, an insurer, or anyone else without your express and separate consent.</w:t>
      </w:r>
    </w:p>
    <w:p>
      <w:pPr>
        <w:spacing w:after="150" w:line="300"/>
      </w:pPr>
      <w:r>
        <w:rPr>
          <w:rFonts w:ascii="Jost" w:cs="Jost" w:eastAsia="Jost" w:hAnsi="Jost"/>
          <w:b w:val="false"/>
          <w:bCs w:val="false"/>
          <w:i w:val="false"/>
          <w:iCs w:val="false"/>
          <w:color w:val="3E4431"/>
          <w:sz w:val="21"/>
          <w:szCs w:val="21"/>
        </w:rPr>
        <w:t xml:space="preserve">If you are with us through a corporate programme paid for by your employer, your employer is told only that sessions took place. Nothing you say and nothing you record is passed to them.</w:t>
      </w:r>
    </w:p>
    <w:p>
      <w:pPr>
        <w:pStyle w:val="Heading1"/>
        <w:spacing w:after="140" w:before="380"/>
      </w:pPr>
      <w:r>
        <w:rPr>
          <w:rFonts w:ascii="Cormorant Garamond" w:cs="Cormorant Garamond" w:eastAsia="Cormorant Garamond" w:hAnsi="Cormorant Garamond"/>
          <w:b/>
          <w:bCs/>
          <w:i/>
          <w:iCs/>
          <w:color w:val="3E4431"/>
          <w:sz w:val="38"/>
          <w:szCs w:val="38"/>
        </w:rPr>
        <w:t xml:space="preserve">4. Our lawful basis for processing</w:t>
      </w:r>
    </w:p>
    <w:p>
      <w:pPr>
        <w:spacing w:after="80"/>
      </w:pPr>
    </w:p>
    <w:tbl>
      <w:tblPr>
        <w:tblW w:type="dxa" w:w="9026"/>
        <w:tblBorders>
          <w:top w:val="single" w:color="E7DFCA" w:sz="2"/>
          <w:left w:val="single" w:color="E7DFCA" w:sz="2"/>
          <w:bottom w:val="single" w:color="E7DFCA" w:sz="2"/>
          <w:right w:val="single" w:color="E7DFCA" w:sz="2"/>
          <w:insideH w:val="single" w:color="E7DFCA" w:sz="2"/>
          <w:insideV w:val="single" w:color="E7DFCA" w:sz="2"/>
        </w:tblBorders>
      </w:tblPr>
      <w:tblGrid>
        <w:gridCol w:w="3200"/>
        <w:gridCol w:w="2713"/>
        <w:gridCol w:w="3113"/>
      </w:tblGrid>
      <w:tr>
        <w:trPr>
          <w:tblHeader/>
        </w:trPr>
        <w:tc>
          <w:tcPr>
            <w:tcW w:type="dxa" w:w="3200"/>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What we process</w:t>
            </w:r>
          </w:p>
        </w:tc>
        <w:tc>
          <w:tcPr>
            <w:tcW w:type="dxa" w:w="2713"/>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Why</w:t>
            </w:r>
          </w:p>
        </w:tc>
        <w:tc>
          <w:tcPr>
            <w:tcW w:type="dxa" w:w="3113"/>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Lawful basis</w:t>
            </w:r>
          </w:p>
        </w:tc>
      </w:tr>
      <w:tr>
        <w:tc>
          <w:tcPr>
            <w:tcW w:type="dxa" w:w="32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Name and contact details for enquiries and bookings</w:t>
            </w:r>
          </w:p>
        </w:tc>
        <w:tc>
          <w:tcPr>
            <w:tcW w:type="dxa" w:w="2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To answer you and arrange a call</w:t>
            </w:r>
          </w:p>
        </w:tc>
        <w:tc>
          <w:tcPr>
            <w:tcW w:type="dxa" w:w="31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Steps taken at your request before entering a contract</w:t>
            </w:r>
          </w:p>
        </w:tc>
      </w:tr>
      <w:tr>
        <w:tc>
          <w:tcPr>
            <w:tcW w:type="dxa" w:w="32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Enrolment and contact information</w:t>
            </w:r>
          </w:p>
        </w:tc>
        <w:tc>
          <w:tcPr>
            <w:tcW w:type="dxa" w:w="2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To deliver the programme you have paid for</w:t>
            </w:r>
          </w:p>
        </w:tc>
        <w:tc>
          <w:tcPr>
            <w:tcW w:type="dxa" w:w="31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Performance of a contract</w:t>
            </w:r>
          </w:p>
        </w:tc>
      </w:tr>
      <w:tr>
        <w:tc>
          <w:tcPr>
            <w:tcW w:type="dxa" w:w="32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Health and screening information</w:t>
            </w:r>
          </w:p>
        </w:tc>
        <w:tc>
          <w:tcPr>
            <w:tcW w:type="dxa" w:w="2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To deliver your programme safely and keep a proper record</w:t>
            </w:r>
          </w:p>
        </w:tc>
        <w:tc>
          <w:tcPr>
            <w:tcW w:type="dxa" w:w="31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Explicit consent, Article 9(2)(a)</w:t>
            </w:r>
          </w:p>
        </w:tc>
      </w:tr>
      <w:tr>
        <w:tc>
          <w:tcPr>
            <w:tcW w:type="dxa" w:w="32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Payment records</w:t>
            </w:r>
          </w:p>
        </w:tc>
        <w:tc>
          <w:tcPr>
            <w:tcW w:type="dxa" w:w="2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To take payment and meet tax obligations</w:t>
            </w:r>
          </w:p>
        </w:tc>
        <w:tc>
          <w:tcPr>
            <w:tcW w:type="dxa" w:w="31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Contract, and legal obligation</w:t>
            </w:r>
          </w:p>
        </w:tc>
      </w:tr>
      <w:tr>
        <w:tc>
          <w:tcPr>
            <w:tcW w:type="dxa" w:w="32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Marketing emails</w:t>
            </w:r>
          </w:p>
        </w:tc>
        <w:tc>
          <w:tcPr>
            <w:tcW w:type="dxa" w:w="2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To send you what you asked for</w:t>
            </w:r>
          </w:p>
        </w:tc>
        <w:tc>
          <w:tcPr>
            <w:tcW w:type="dxa" w:w="31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Consent, withdrawable at any time</w:t>
            </w:r>
          </w:p>
        </w:tc>
      </w:tr>
      <w:tr>
        <w:tc>
          <w:tcPr>
            <w:tcW w:type="dxa" w:w="32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Website analytics</w:t>
            </w:r>
          </w:p>
        </w:tc>
        <w:tc>
          <w:tcPr>
            <w:tcW w:type="dxa" w:w="2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To understand how the site is used</w:t>
            </w:r>
          </w:p>
        </w:tc>
        <w:tc>
          <w:tcPr>
            <w:tcW w:type="dxa" w:w="31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Consent, given through the cookie banner</w:t>
            </w:r>
          </w:p>
        </w:tc>
      </w:tr>
      <w:tr>
        <w:tc>
          <w:tcPr>
            <w:tcW w:type="dxa" w:w="32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Practice records kept after a programme ends</w:t>
            </w:r>
          </w:p>
        </w:tc>
        <w:tc>
          <w:tcPr>
            <w:tcW w:type="dxa" w:w="2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To answer any question or claim about the work</w:t>
            </w:r>
          </w:p>
        </w:tc>
        <w:tc>
          <w:tcPr>
            <w:tcW w:type="dxa" w:w="31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Our legitimate interest in defending our practice</w:t>
            </w:r>
          </w:p>
        </w:tc>
      </w:tr>
    </w:tbl>
    <w:p>
      <w:r>
        <w:br w:type="page"/>
      </w:r>
    </w:p>
    <w:p>
      <w:pPr>
        <w:pStyle w:val="Heading1"/>
        <w:spacing w:after="140" w:before="380"/>
      </w:pPr>
      <w:r>
        <w:rPr>
          <w:rFonts w:ascii="Cormorant Garamond" w:cs="Cormorant Garamond" w:eastAsia="Cormorant Garamond" w:hAnsi="Cormorant Garamond"/>
          <w:b/>
          <w:bCs/>
          <w:i/>
          <w:iCs/>
          <w:color w:val="3E4431"/>
          <w:sz w:val="38"/>
          <w:szCs w:val="38"/>
        </w:rPr>
        <w:t xml:space="preserve">5. Email and marketing</w:t>
      </w:r>
    </w:p>
    <w:p>
      <w:pPr>
        <w:spacing w:after="150" w:line="300"/>
      </w:pPr>
      <w:r>
        <w:rPr>
          <w:rFonts w:ascii="Jost" w:cs="Jost" w:eastAsia="Jost" w:hAnsi="Jost"/>
          <w:b w:val="false"/>
          <w:bCs w:val="false"/>
          <w:i w:val="false"/>
          <w:iCs w:val="false"/>
          <w:color w:val="3E4431"/>
          <w:sz w:val="21"/>
          <w:szCs w:val="21"/>
        </w:rPr>
        <w:t xml:space="preserve">If you download a free resource you are asked whether you would like to receive our emails. If you say yes, you receive the resource and then occasional updates.</w:t>
      </w:r>
    </w:p>
    <w:p>
      <w:pPr>
        <w:spacing w:after="150" w:line="300"/>
      </w:pPr>
      <w:r>
        <w:rPr>
          <w:rFonts w:ascii="Jost" w:cs="Jost" w:eastAsia="Jost" w:hAnsi="Jost"/>
          <w:b w:val="false"/>
          <w:bCs w:val="false"/>
          <w:i w:val="false"/>
          <w:iCs w:val="false"/>
          <w:color w:val="3E4431"/>
          <w:sz w:val="21"/>
          <w:szCs w:val="21"/>
        </w:rPr>
        <w:t xml:space="preserve">If you buy from us, you receive the emails needed to deliver what you bought. Those are not marketing and you cannot unsubscribe from them while your programme is running.</w:t>
      </w:r>
    </w:p>
    <w:p>
      <w:pPr>
        <w:spacing w:after="150" w:line="300"/>
      </w:pPr>
      <w:r>
        <w:rPr>
          <w:rFonts w:ascii="Jost" w:cs="Jost" w:eastAsia="Jost" w:hAnsi="Jost"/>
          <w:b w:val="false"/>
          <w:bCs w:val="false"/>
          <w:i w:val="false"/>
          <w:iCs w:val="false"/>
          <w:color w:val="3E4431"/>
          <w:sz w:val="21"/>
          <w:szCs w:val="21"/>
        </w:rPr>
        <w:t xml:space="preserve">Buying something is not by itself agreement to be marketed to. You are given a clear opportunity to opt out at the point of purchase, and every marketing email carries an unsubscribe link. Unsubscribing never affects a programme you have paid for.</w:t>
      </w:r>
    </w:p>
    <w:p>
      <w:pPr>
        <w:spacing w:after="150" w:line="300"/>
      </w:pPr>
      <w:r>
        <w:rPr>
          <w:rFonts w:ascii="Jost" w:cs="Jost" w:eastAsia="Jost" w:hAnsi="Jost"/>
          <w:b w:val="false"/>
          <w:bCs w:val="false"/>
          <w:i w:val="false"/>
          <w:iCs w:val="false"/>
          <w:color w:val="3E4431"/>
          <w:sz w:val="21"/>
          <w:szCs w:val="21"/>
        </w:rPr>
        <w:t xml:space="preserve">We currently send these emails ourselves rather than through a marketing platform. If that changes we will name the provider here before we start using it.</w:t>
      </w:r>
    </w:p>
    <w:p>
      <w:pPr>
        <w:pStyle w:val="Heading1"/>
        <w:spacing w:after="140" w:before="380"/>
      </w:pPr>
      <w:r>
        <w:rPr>
          <w:rFonts w:ascii="Cormorant Garamond" w:cs="Cormorant Garamond" w:eastAsia="Cormorant Garamond" w:hAnsi="Cormorant Garamond"/>
          <w:b/>
          <w:bCs/>
          <w:i/>
          <w:iCs/>
          <w:color w:val="3E4431"/>
          <w:sz w:val="38"/>
          <w:szCs w:val="38"/>
        </w:rPr>
        <w:t xml:space="preserve">6. Who we share your information with</w:t>
      </w:r>
    </w:p>
    <w:p>
      <w:pPr>
        <w:spacing w:after="150" w:line="300"/>
      </w:pPr>
      <w:r>
        <w:rPr>
          <w:rFonts w:ascii="Jost" w:cs="Jost" w:eastAsia="Jost" w:hAnsi="Jost"/>
          <w:b w:val="false"/>
          <w:bCs w:val="false"/>
          <w:i w:val="false"/>
          <w:iCs w:val="false"/>
          <w:color w:val="3E4431"/>
          <w:sz w:val="21"/>
          <w:szCs w:val="21"/>
        </w:rPr>
        <w:t xml:space="preserve">We do not sell, rent or trade your personal information, and we never will. We use the following providers to run the practice. Each of them handles your information on our instructions under a written agreement, and none of them may use it for their own purposes.</w:t>
      </w:r>
    </w:p>
    <w:p>
      <w:pPr>
        <w:spacing w:after="80"/>
      </w:pPr>
    </w:p>
    <w:tbl>
      <w:tblPr>
        <w:tblW w:type="dxa" w:w="9026"/>
        <w:tblBorders>
          <w:top w:val="single" w:color="E7DFCA" w:sz="2"/>
          <w:left w:val="single" w:color="E7DFCA" w:sz="2"/>
          <w:bottom w:val="single" w:color="E7DFCA" w:sz="2"/>
          <w:right w:val="single" w:color="E7DFCA" w:sz="2"/>
          <w:insideH w:val="single" w:color="E7DFCA" w:sz="2"/>
          <w:insideV w:val="single" w:color="E7DFCA" w:sz="2"/>
        </w:tblBorders>
      </w:tblPr>
      <w:tblGrid>
        <w:gridCol w:w="2900"/>
        <w:gridCol w:w="6126"/>
      </w:tblGrid>
      <w:tr>
        <w:trPr>
          <w:tblHeader/>
        </w:trPr>
        <w:tc>
          <w:tcPr>
            <w:tcW w:type="dxa" w:w="2900"/>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Provider</w:t>
            </w:r>
          </w:p>
        </w:tc>
        <w:tc>
          <w:tcPr>
            <w:tcW w:type="dxa" w:w="6126"/>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What it handles</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Stripe</w:t>
            </w:r>
          </w:p>
        </w:tc>
        <w:tc>
          <w:tcPr>
            <w:tcW w:type="dxa" w:w="6126"/>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Payments and subscriptions. Card details are held by Stripe and never by us.</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Cal.com</w:t>
            </w:r>
          </w:p>
        </w:tc>
        <w:tc>
          <w:tcPr>
            <w:tcW w:type="dxa" w:w="6126"/>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Discovery call bookings and the questions you answer when booking.</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Jotform</w:t>
            </w:r>
          </w:p>
        </w:tc>
        <w:tc>
          <w:tcPr>
            <w:tcW w:type="dxa" w:w="6126"/>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The weekly check-in form and the waitlist. Encryption is enabled.</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WhatsApp</w:t>
            </w:r>
          </w:p>
        </w:tc>
        <w:tc>
          <w:tcPr>
            <w:tcW w:type="dxa" w:w="6126"/>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Calls and messages between you and your practitioner.</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Zoom</w:t>
            </w:r>
          </w:p>
        </w:tc>
        <w:tc>
          <w:tcPr>
            <w:tcW w:type="dxa" w:w="6126"/>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Video calls, where you would prefer video to WhatsApp.</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Our website host</w:t>
            </w:r>
          </w:p>
        </w:tc>
        <w:tc>
          <w:tcPr>
            <w:tcW w:type="dxa" w:w="6126"/>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The website itself and anything you submit through it.</w:t>
            </w:r>
          </w:p>
        </w:tc>
      </w:tr>
    </w:tbl>
    <w:p>
      <w:pPr>
        <w:spacing w:after="180"/>
      </w:pPr>
    </w:p>
    <w:p>
      <w:pPr>
        <w:spacing w:after="150" w:line="300"/>
      </w:pPr>
      <w:r>
        <w:rPr>
          <w:rFonts w:ascii="Jost" w:cs="Jost" w:eastAsia="Jost" w:hAnsi="Jost"/>
          <w:b w:val="false"/>
          <w:bCs w:val="false"/>
          <w:i w:val="false"/>
          <w:iCs w:val="false"/>
          <w:color w:val="3E4431"/>
          <w:sz w:val="21"/>
          <w:szCs w:val="21"/>
        </w:rPr>
        <w:t xml:space="preserve">Your health and intake screening form is completed in your own browser and returned to us directly. It is not held on any third party form platform.</w:t>
      </w:r>
    </w:p>
    <w:p>
      <w:pPr>
        <w:spacing w:after="150" w:line="300"/>
      </w:pPr>
      <w:r>
        <w:rPr>
          <w:rFonts w:ascii="Jost" w:cs="Jost" w:eastAsia="Jost" w:hAnsi="Jost"/>
          <w:b w:val="false"/>
          <w:bCs w:val="false"/>
          <w:i w:val="false"/>
          <w:iCs w:val="false"/>
          <w:color w:val="3E4431"/>
          <w:sz w:val="21"/>
          <w:szCs w:val="21"/>
        </w:rPr>
        <w:t xml:space="preserve">We may also disclose information where we are required to by law, or in the limited safety circumstances described in our Terms and Conditions, which include a safeguarding concern about a child or an adult at risk.</w:t>
      </w:r>
    </w:p>
    <w:p>
      <w:pPr>
        <w:pStyle w:val="Heading1"/>
        <w:spacing w:after="140" w:before="380"/>
      </w:pPr>
      <w:r>
        <w:rPr>
          <w:rFonts w:ascii="Cormorant Garamond" w:cs="Cormorant Garamond" w:eastAsia="Cormorant Garamond" w:hAnsi="Cormorant Garamond"/>
          <w:b/>
          <w:bCs/>
          <w:i/>
          <w:iCs/>
          <w:color w:val="3E4431"/>
          <w:sz w:val="38"/>
          <w:szCs w:val="38"/>
        </w:rPr>
        <w:t xml:space="preserve">7. Transfers outside the European Economic Area</w:t>
      </w:r>
    </w:p>
    <w:p>
      <w:pPr>
        <w:spacing w:after="150" w:line="300"/>
      </w:pPr>
      <w:r>
        <w:rPr>
          <w:rFonts w:ascii="Jost" w:cs="Jost" w:eastAsia="Jost" w:hAnsi="Jost"/>
          <w:b w:val="false"/>
          <w:bCs w:val="false"/>
          <w:i w:val="false"/>
          <w:iCs w:val="false"/>
          <w:color w:val="3E4431"/>
          <w:sz w:val="21"/>
          <w:szCs w:val="21"/>
        </w:rPr>
        <w:t xml:space="preserve">Some of our providers are based outside the European Economic Area, principally in the United States. Where information is transferred there we rely on the Standard Contractual Clauses approved by the European Commission, or on the provider being certified under the EU to US Data Privacy Framework.</w:t>
      </w:r>
    </w:p>
    <w:p>
      <w:pPr>
        <w:spacing w:after="150" w:line="300"/>
      </w:pPr>
      <w:r>
        <w:rPr>
          <w:rFonts w:ascii="Jost" w:cs="Jost" w:eastAsia="Jost" w:hAnsi="Jost"/>
          <w:b w:val="false"/>
          <w:bCs w:val="false"/>
          <w:i w:val="false"/>
          <w:iCs w:val="false"/>
          <w:color w:val="3E4431"/>
          <w:sz w:val="21"/>
          <w:szCs w:val="21"/>
        </w:rPr>
        <w:t xml:space="preserve">Health information is held on systems with encryption enabled. If you would prefer to complete your weekly check-in by another means, ask us and we will arrange it.</w:t>
      </w:r>
    </w:p>
    <w:p>
      <w:r>
        <w:br w:type="page"/>
      </w:r>
    </w:p>
    <w:p>
      <w:pPr>
        <w:pStyle w:val="Heading1"/>
        <w:spacing w:after="140" w:before="380"/>
      </w:pPr>
      <w:r>
        <w:rPr>
          <w:rFonts w:ascii="Cormorant Garamond" w:cs="Cormorant Garamond" w:eastAsia="Cormorant Garamond" w:hAnsi="Cormorant Garamond"/>
          <w:b/>
          <w:bCs/>
          <w:i/>
          <w:iCs/>
          <w:color w:val="3E4431"/>
          <w:sz w:val="38"/>
          <w:szCs w:val="38"/>
        </w:rPr>
        <w:t xml:space="preserve">8. How long we keep things</w:t>
      </w:r>
    </w:p>
    <w:p>
      <w:pPr>
        <w:spacing w:after="80"/>
      </w:pPr>
    </w:p>
    <w:tbl>
      <w:tblPr>
        <w:tblW w:type="dxa" w:w="9026"/>
        <w:tblBorders>
          <w:top w:val="single" w:color="E7DFCA" w:sz="2"/>
          <w:left w:val="single" w:color="E7DFCA" w:sz="2"/>
          <w:bottom w:val="single" w:color="E7DFCA" w:sz="2"/>
          <w:right w:val="single" w:color="E7DFCA" w:sz="2"/>
          <w:insideH w:val="single" w:color="E7DFCA" w:sz="2"/>
          <w:insideV w:val="single" w:color="E7DFCA" w:sz="2"/>
        </w:tblBorders>
      </w:tblPr>
      <w:tblGrid>
        <w:gridCol w:w="2900"/>
        <w:gridCol w:w="2413"/>
        <w:gridCol w:w="3713"/>
      </w:tblGrid>
      <w:tr>
        <w:trPr>
          <w:tblHeader/>
        </w:trPr>
        <w:tc>
          <w:tcPr>
            <w:tcW w:type="dxa" w:w="2900"/>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What</w:t>
            </w:r>
          </w:p>
        </w:tc>
        <w:tc>
          <w:tcPr>
            <w:tcW w:type="dxa" w:w="2413"/>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How long</w:t>
            </w:r>
          </w:p>
        </w:tc>
        <w:tc>
          <w:tcPr>
            <w:tcW w:type="dxa" w:w="3713"/>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Why</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Client records, session notes, screening and check-in responses</w:t>
            </w:r>
          </w:p>
        </w:tc>
        <w:tc>
          <w:tcPr>
            <w:tcW w:type="dxa" w:w="24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Seven years from the end of your enrolment</w:t>
            </w:r>
          </w:p>
        </w:tc>
        <w:tc>
          <w:tcPr>
            <w:tcW w:type="dxa" w:w="3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Standard practice record retention, and the period in which a question or claim about the work could arise</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Enquiries that did not become enrolments</w:t>
            </w:r>
          </w:p>
        </w:tc>
        <w:tc>
          <w:tcPr>
            <w:tcW w:type="dxa" w:w="24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Twelve months</w:t>
            </w:r>
          </w:p>
        </w:tc>
        <w:tc>
          <w:tcPr>
            <w:tcW w:type="dxa" w:w="3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Long enough to pick up a conversation, not long enough to become a database of people who said no</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Discovery call booking answers</w:t>
            </w:r>
          </w:p>
        </w:tc>
        <w:tc>
          <w:tcPr>
            <w:tcW w:type="dxa" w:w="24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Moved into your client file on enrolment. Otherwise deleted within twelve months</w:t>
            </w:r>
          </w:p>
        </w:tc>
        <w:tc>
          <w:tcPr>
            <w:tcW w:type="dxa" w:w="3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They are only useful for the call itself</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Waitlist entries</w:t>
            </w:r>
          </w:p>
        </w:tc>
        <w:tc>
          <w:tcPr>
            <w:tcW w:type="dxa" w:w="24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Twelve months. Name and email only</w:t>
            </w:r>
          </w:p>
        </w:tc>
        <w:tc>
          <w:tcPr>
            <w:tcW w:type="dxa" w:w="3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A waitlist older than that is not a waitlist</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Payment and invoice records</w:t>
            </w:r>
          </w:p>
        </w:tc>
        <w:tc>
          <w:tcPr>
            <w:tcW w:type="dxa" w:w="24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Six years</w:t>
            </w:r>
          </w:p>
        </w:tc>
        <w:tc>
          <w:tcPr>
            <w:tcW w:type="dxa" w:w="3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Required by Revenue</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Marketing email subscribers</w:t>
            </w:r>
          </w:p>
        </w:tc>
        <w:tc>
          <w:tcPr>
            <w:tcW w:type="dxa" w:w="24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Until you unsubscribe, then a record that you did</w:t>
            </w:r>
          </w:p>
        </w:tc>
        <w:tc>
          <w:tcPr>
            <w:tcW w:type="dxa" w:w="3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So we do not email you again by accident</w:t>
            </w:r>
          </w:p>
        </w:tc>
      </w:tr>
      <w:tr>
        <w:tc>
          <w:tcPr>
            <w:tcW w:type="dxa" w:w="29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Website analytics</w:t>
            </w:r>
          </w:p>
        </w:tc>
        <w:tc>
          <w:tcPr>
            <w:tcW w:type="dxa" w:w="24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As set out in section 11</w:t>
            </w:r>
          </w:p>
        </w:tc>
        <w:tc>
          <w:tcPr>
            <w:tcW w:type="dxa" w:w="37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Set by the cookie itself</w:t>
            </w:r>
          </w:p>
        </w:tc>
      </w:tr>
    </w:tbl>
    <w:p>
      <w:pPr>
        <w:spacing w:after="180"/>
      </w:pPr>
    </w:p>
    <w:p>
      <w:pPr>
        <w:spacing w:after="150" w:line="300"/>
      </w:pPr>
      <w:r>
        <w:rPr>
          <w:rFonts w:ascii="Jost" w:cs="Jost" w:eastAsia="Jost" w:hAnsi="Jost"/>
          <w:b w:val="false"/>
          <w:bCs w:val="false"/>
          <w:i w:val="false"/>
          <w:iCs w:val="false"/>
          <w:color w:val="3E4431"/>
          <w:sz w:val="21"/>
          <w:szCs w:val="21"/>
        </w:rPr>
        <w:t xml:space="preserve">At the end of a retention period, information is deleted or securely destroyed. Where a platform cannot delete automatically on that schedule, we do it manually.</w:t>
      </w:r>
    </w:p>
    <w:p>
      <w:pPr>
        <w:pStyle w:val="Heading1"/>
        <w:spacing w:after="140" w:before="380"/>
      </w:pPr>
      <w:r>
        <w:rPr>
          <w:rFonts w:ascii="Cormorant Garamond" w:cs="Cormorant Garamond" w:eastAsia="Cormorant Garamond" w:hAnsi="Cormorant Garamond"/>
          <w:b/>
          <w:bCs/>
          <w:i/>
          <w:iCs/>
          <w:color w:val="3E4431"/>
          <w:sz w:val="38"/>
          <w:szCs w:val="38"/>
        </w:rPr>
        <w:t xml:space="preserve">9. How we keep it secure</w:t>
      </w:r>
    </w:p>
    <w:p>
      <w:pPr>
        <w:spacing w:after="100" w:line="300"/>
        <w:ind w:left="400" w:hanging="220"/>
      </w:pPr>
      <w:r>
        <w:rPr>
          <w:rFonts w:ascii="Jost" w:cs="Jost" w:eastAsia="Jost" w:hAnsi="Jost"/>
          <w:color w:val="3E4431"/>
          <w:sz w:val="21"/>
          <w:szCs w:val="21"/>
        </w:rPr>
        <w:t xml:space="preserve">•   Devices holding client records are password protected and encrypted.</w:t>
      </w:r>
    </w:p>
    <w:p>
      <w:pPr>
        <w:spacing w:after="100" w:line="300"/>
        <w:ind w:left="400" w:hanging="220"/>
      </w:pPr>
      <w:r>
        <w:rPr>
          <w:rFonts w:ascii="Jost" w:cs="Jost" w:eastAsia="Jost" w:hAnsi="Jost"/>
          <w:color w:val="3E4431"/>
          <w:sz w:val="21"/>
          <w:szCs w:val="21"/>
        </w:rPr>
        <w:t xml:space="preserve">•   Encryption is enabled on our forms platform.</w:t>
      </w:r>
    </w:p>
    <w:p>
      <w:pPr>
        <w:spacing w:after="100" w:line="300"/>
        <w:ind w:left="400" w:hanging="220"/>
      </w:pPr>
      <w:r>
        <w:rPr>
          <w:rFonts w:ascii="Jost" w:cs="Jost" w:eastAsia="Jost" w:hAnsi="Jost"/>
          <w:color w:val="3E4431"/>
          <w:sz w:val="21"/>
          <w:szCs w:val="21"/>
        </w:rPr>
        <w:t xml:space="preserve">•   Access is limited to the two partners, Matt Dunham and Sandra Dunham. Nobody else has access to client records.</w:t>
      </w:r>
    </w:p>
    <w:p>
      <w:pPr>
        <w:spacing w:after="100" w:line="300"/>
        <w:ind w:left="400" w:hanging="220"/>
      </w:pPr>
      <w:r>
        <w:rPr>
          <w:rFonts w:ascii="Jost" w:cs="Jost" w:eastAsia="Jost" w:hAnsi="Jost"/>
          <w:color w:val="3E4431"/>
          <w:sz w:val="21"/>
          <w:szCs w:val="21"/>
        </w:rPr>
        <w:t xml:space="preserve">•   Card details are never held by us at any point.</w:t>
      </w:r>
    </w:p>
    <w:p>
      <w:pPr>
        <w:pStyle w:val="Heading1"/>
        <w:spacing w:after="140" w:before="380"/>
      </w:pPr>
      <w:r>
        <w:rPr>
          <w:rFonts w:ascii="Cormorant Garamond" w:cs="Cormorant Garamond" w:eastAsia="Cormorant Garamond" w:hAnsi="Cormorant Garamond"/>
          <w:b/>
          <w:bCs/>
          <w:i/>
          <w:iCs/>
          <w:color w:val="3E4431"/>
          <w:sz w:val="38"/>
          <w:szCs w:val="38"/>
        </w:rPr>
        <w:t xml:space="preserve">10. Your rights</w:t>
      </w:r>
    </w:p>
    <w:p>
      <w:pPr>
        <w:spacing w:after="150" w:line="300"/>
      </w:pPr>
      <w:r>
        <w:rPr>
          <w:rFonts w:ascii="Jost" w:cs="Jost" w:eastAsia="Jost" w:hAnsi="Jost"/>
          <w:b w:val="false"/>
          <w:bCs w:val="false"/>
          <w:i w:val="false"/>
          <w:iCs w:val="false"/>
          <w:color w:val="3E4431"/>
          <w:sz w:val="21"/>
          <w:szCs w:val="21"/>
        </w:rPr>
        <w:t xml:space="preserve">Under the GDPR you have the right to:</w:t>
      </w:r>
    </w:p>
    <w:p>
      <w:pPr>
        <w:spacing w:after="100" w:line="300"/>
        <w:ind w:left="400" w:hanging="220"/>
      </w:pPr>
      <w:r>
        <w:rPr>
          <w:rFonts w:ascii="Jost" w:cs="Jost" w:eastAsia="Jost" w:hAnsi="Jost"/>
          <w:color w:val="3E4431"/>
          <w:sz w:val="21"/>
          <w:szCs w:val="21"/>
        </w:rPr>
        <w:t xml:space="preserve">•   Ask for a copy of the personal information we hold about you.</w:t>
      </w:r>
    </w:p>
    <w:p>
      <w:pPr>
        <w:spacing w:after="100" w:line="300"/>
        <w:ind w:left="400" w:hanging="220"/>
      </w:pPr>
      <w:r>
        <w:rPr>
          <w:rFonts w:ascii="Jost" w:cs="Jost" w:eastAsia="Jost" w:hAnsi="Jost"/>
          <w:color w:val="3E4431"/>
          <w:sz w:val="21"/>
          <w:szCs w:val="21"/>
        </w:rPr>
        <w:t xml:space="preserve">•   Have anything inaccurate or incomplete corrected.</w:t>
      </w:r>
    </w:p>
    <w:p>
      <w:pPr>
        <w:spacing w:after="100" w:line="300"/>
        <w:ind w:left="400" w:hanging="220"/>
      </w:pPr>
      <w:r>
        <w:rPr>
          <w:rFonts w:ascii="Jost" w:cs="Jost" w:eastAsia="Jost" w:hAnsi="Jost"/>
          <w:color w:val="3E4431"/>
          <w:sz w:val="21"/>
          <w:szCs w:val="21"/>
        </w:rPr>
        <w:t xml:space="preserve">•   Ask us to delete your information, subject to any legal obligation we have to keep it. Practice records held for the reasons in section 8 are the usual exception.</w:t>
      </w:r>
    </w:p>
    <w:p>
      <w:pPr>
        <w:spacing w:after="100" w:line="300"/>
        <w:ind w:left="400" w:hanging="220"/>
      </w:pPr>
      <w:r>
        <w:rPr>
          <w:rFonts w:ascii="Jost" w:cs="Jost" w:eastAsia="Jost" w:hAnsi="Jost"/>
          <w:color w:val="3E4431"/>
          <w:sz w:val="21"/>
          <w:szCs w:val="21"/>
        </w:rPr>
        <w:t xml:space="preserve">•   Ask us to restrict how we use it.</w:t>
      </w:r>
    </w:p>
    <w:p>
      <w:pPr>
        <w:spacing w:after="100" w:line="300"/>
        <w:ind w:left="400" w:hanging="220"/>
      </w:pPr>
      <w:r>
        <w:rPr>
          <w:rFonts w:ascii="Jost" w:cs="Jost" w:eastAsia="Jost" w:hAnsi="Jost"/>
          <w:color w:val="3E4431"/>
          <w:sz w:val="21"/>
          <w:szCs w:val="21"/>
        </w:rPr>
        <w:t xml:space="preserve">•   Receive it in a structured, commonly used, machine readable format, or have it sent to someone else.</w:t>
      </w:r>
    </w:p>
    <w:p>
      <w:pPr>
        <w:spacing w:after="100" w:line="300"/>
        <w:ind w:left="400" w:hanging="220"/>
      </w:pPr>
      <w:r>
        <w:rPr>
          <w:rFonts w:ascii="Jost" w:cs="Jost" w:eastAsia="Jost" w:hAnsi="Jost"/>
          <w:color w:val="3E4431"/>
          <w:sz w:val="21"/>
          <w:szCs w:val="21"/>
        </w:rPr>
        <w:t xml:space="preserve">•   Object to processing we carry out on the basis of legitimate interests.</w:t>
      </w:r>
    </w:p>
    <w:p>
      <w:pPr>
        <w:spacing w:after="100" w:line="300"/>
        <w:ind w:left="400" w:hanging="220"/>
      </w:pPr>
      <w:r>
        <w:rPr>
          <w:rFonts w:ascii="Jost" w:cs="Jost" w:eastAsia="Jost" w:hAnsi="Jost"/>
          <w:color w:val="3E4431"/>
          <w:sz w:val="21"/>
          <w:szCs w:val="21"/>
        </w:rPr>
        <w:t xml:space="preserve">•   Withdraw a consent at any time, including the explicit consent covering your health information.</w:t>
      </w:r>
    </w:p>
    <w:p>
      <w:pPr>
        <w:spacing w:after="60"/>
      </w:pPr>
    </w:p>
    <w:p>
      <w:pPr>
        <w:spacing w:after="150" w:line="300"/>
      </w:pPr>
      <w:r>
        <w:rPr>
          <w:rFonts w:ascii="Jost" w:cs="Jost" w:eastAsia="Jost" w:hAnsi="Jost"/>
          <w:b w:val="false"/>
          <w:bCs w:val="false"/>
          <w:i w:val="false"/>
          <w:iCs w:val="false"/>
          <w:color w:val="3E4431"/>
          <w:sz w:val="21"/>
          <w:szCs w:val="21"/>
        </w:rPr>
        <w:t xml:space="preserve">Email info@sevenrivers-wellness.com to exercise any of these. We will respond within one month, and there is no charge.</w:t>
      </w:r>
    </w:p>
    <w:p>
      <w:r>
        <w:br w:type="page"/>
      </w:r>
    </w:p>
    <w:p>
      <w:pPr>
        <w:pStyle w:val="Heading1"/>
        <w:spacing w:after="140" w:before="380"/>
      </w:pPr>
      <w:r>
        <w:rPr>
          <w:rFonts w:ascii="Cormorant Garamond" w:cs="Cormorant Garamond" w:eastAsia="Cormorant Garamond" w:hAnsi="Cormorant Garamond"/>
          <w:b/>
          <w:bCs/>
          <w:i/>
          <w:iCs/>
          <w:color w:val="3E4431"/>
          <w:sz w:val="38"/>
          <w:szCs w:val="38"/>
        </w:rPr>
        <w:t xml:space="preserve">11. Cookies and tracking</w:t>
      </w:r>
    </w:p>
    <w:p>
      <w:pPr>
        <w:spacing w:after="150" w:line="300"/>
      </w:pPr>
      <w:r>
        <w:rPr>
          <w:rFonts w:ascii="Jost" w:cs="Jost" w:eastAsia="Jost" w:hAnsi="Jost"/>
          <w:b w:val="false"/>
          <w:bCs w:val="false"/>
          <w:i w:val="false"/>
          <w:iCs w:val="false"/>
          <w:color w:val="3E4431"/>
          <w:sz w:val="21"/>
          <w:szCs w:val="21"/>
        </w:rPr>
        <w:t xml:space="preserve">A cookie is a small text file placed on your device by a website. Some are needed for the site to work at all. Others tell us how the site is being used, or let us measure whether our advertising is reaching the right people.</w:t>
      </w:r>
    </w:p>
    <w:p>
      <w:pPr>
        <w:spacing w:after="80"/>
      </w:pPr>
    </w:p>
    <w:tbl>
      <w:tblPr>
        <w:tblW w:type="dxa" w:w="9026"/>
        <w:tblBorders>
          <w:top w:val="single" w:color="E7DFCA" w:sz="2"/>
          <w:left w:val="single" w:color="E7DFCA" w:sz="2"/>
          <w:bottom w:val="single" w:color="E7DFCA" w:sz="2"/>
          <w:right w:val="single" w:color="E7DFCA" w:sz="2"/>
          <w:insideH w:val="single" w:color="E7DFCA" w:sz="2"/>
          <w:insideV w:val="single" w:color="E7DFCA" w:sz="2"/>
        </w:tblBorders>
      </w:tblPr>
      <w:tblGrid>
        <w:gridCol w:w="2400"/>
        <w:gridCol w:w="4113"/>
        <w:gridCol w:w="2513"/>
      </w:tblGrid>
      <w:tr>
        <w:trPr>
          <w:tblHeader/>
        </w:trPr>
        <w:tc>
          <w:tcPr>
            <w:tcW w:type="dxa" w:w="2400"/>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Type</w:t>
            </w:r>
          </w:p>
        </w:tc>
        <w:tc>
          <w:tcPr>
            <w:tcW w:type="dxa" w:w="4113"/>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What it does</w:t>
            </w:r>
          </w:p>
        </w:tc>
        <w:tc>
          <w:tcPr>
            <w:tcW w:type="dxa" w:w="2513"/>
            <w:shd w:fill="4D5732" w:color="auto" w:val="clear"/>
            <w:tcMar>
              <w:top w:type="dxa" w:w="120"/>
              <w:left w:type="dxa" w:w="170"/>
              <w:bottom w:type="dxa" w:w="120"/>
              <w:right w:type="dxa" w:w="170"/>
            </w:tcMar>
          </w:tcPr>
          <w:p>
            <w:pPr>
              <w:spacing w:after="0" w:line="264"/>
            </w:pPr>
            <w:r>
              <w:rPr>
                <w:rFonts w:ascii="Jost" w:cs="Jost" w:eastAsia="Jost" w:hAnsi="Jost"/>
                <w:b/>
                <w:bCs/>
                <w:color w:val="E7DFCA"/>
                <w:sz w:val="19"/>
                <w:szCs w:val="19"/>
              </w:rPr>
              <w:t xml:space="preserve">Set without asking?</w:t>
            </w:r>
          </w:p>
        </w:tc>
      </w:tr>
      <w:tr>
        <w:tc>
          <w:tcPr>
            <w:tcW w:type="dxa" w:w="24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Strictly necessary</w:t>
            </w:r>
          </w:p>
        </w:tc>
        <w:tc>
          <w:tcPr>
            <w:tcW w:type="dxa" w:w="41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Makes the site work: page loading, security, remembering your cookie choices.</w:t>
            </w:r>
          </w:p>
        </w:tc>
        <w:tc>
          <w:tcPr>
            <w:tcW w:type="dxa" w:w="25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Yes. The site cannot function without them.</w:t>
            </w:r>
          </w:p>
        </w:tc>
      </w:tr>
      <w:tr>
        <w:tc>
          <w:tcPr>
            <w:tcW w:type="dxa" w:w="24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Analytics</w:t>
            </w:r>
          </w:p>
        </w:tc>
        <w:tc>
          <w:tcPr>
            <w:tcW w:type="dxa" w:w="41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Tells us which pages are read and how people move through the site.</w:t>
            </w:r>
          </w:p>
        </w:tc>
        <w:tc>
          <w:tcPr>
            <w:tcW w:type="dxa" w:w="25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No. Only if you accept.</w:t>
            </w:r>
          </w:p>
        </w:tc>
      </w:tr>
      <w:tr>
        <w:tc>
          <w:tcPr>
            <w:tcW w:type="dxa" w:w="2400"/>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Advertising</w:t>
            </w:r>
          </w:p>
        </w:tc>
        <w:tc>
          <w:tcPr>
            <w:tcW w:type="dxa" w:w="41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Lets us measure whether an advertisement led to an enquiry.</w:t>
            </w:r>
          </w:p>
        </w:tc>
        <w:tc>
          <w:tcPr>
            <w:tcW w:type="dxa" w:w="2513"/>
            <w:shd w:fill="F1EBDC" w:color="auto" w:val="clear"/>
            <w:tcMar>
              <w:top w:type="dxa" w:w="120"/>
              <w:left w:type="dxa" w:w="170"/>
              <w:bottom w:type="dxa" w:w="120"/>
              <w:right w:type="dxa" w:w="170"/>
            </w:tcMar>
          </w:tcPr>
          <w:p>
            <w:pPr>
              <w:spacing w:after="0" w:line="264"/>
            </w:pPr>
            <w:r>
              <w:rPr>
                <w:rFonts w:ascii="Jost" w:cs="Jost" w:eastAsia="Jost" w:hAnsi="Jost"/>
                <w:b w:val="false"/>
                <w:bCs w:val="false"/>
                <w:color w:val="3E4431"/>
                <w:sz w:val="19"/>
                <w:szCs w:val="19"/>
              </w:rPr>
              <w:t xml:space="preserve">No. Only if you accept.</w:t>
            </w:r>
          </w:p>
        </w:tc>
      </w:tr>
    </w:tbl>
    <w:p>
      <w:pPr>
        <w:spacing w:after="180"/>
      </w:pPr>
    </w:p>
    <w:p>
      <w:pPr>
        <w:spacing w:after="150" w:line="300"/>
      </w:pPr>
      <w:r>
        <w:rPr>
          <w:rFonts w:ascii="Jost" w:cs="Jost" w:eastAsia="Jost" w:hAnsi="Jost"/>
          <w:b w:val="false"/>
          <w:bCs w:val="false"/>
          <w:i w:val="false"/>
          <w:iCs w:val="false"/>
          <w:color w:val="3E4431"/>
          <w:sz w:val="21"/>
          <w:szCs w:val="21"/>
        </w:rPr>
        <w:t xml:space="preserve">When you first visit the site you are asked which of these you accept. Nothing beyond the strictly necessary cookies is set until you choose, and you can change your choice at any time using the cookie settings link in the footer. You can also block or delete cookies through your own browser settings, though parts of the site may then not work properly.</w:t>
      </w:r>
    </w:p>
    <w:p>
      <w:pPr>
        <w:pStyle w:val="Heading1"/>
        <w:spacing w:after="140" w:before="380"/>
      </w:pPr>
      <w:r>
        <w:rPr>
          <w:rFonts w:ascii="Cormorant Garamond" w:cs="Cormorant Garamond" w:eastAsia="Cormorant Garamond" w:hAnsi="Cormorant Garamond"/>
          <w:b/>
          <w:bCs/>
          <w:i/>
          <w:iCs/>
          <w:color w:val="3E4431"/>
          <w:sz w:val="38"/>
          <w:szCs w:val="38"/>
        </w:rPr>
        <w:t xml:space="preserve">12. If something goes wrong</w:t>
      </w:r>
    </w:p>
    <w:p>
      <w:pPr>
        <w:spacing w:after="150" w:line="300"/>
      </w:pPr>
      <w:r>
        <w:rPr>
          <w:rFonts w:ascii="Jost" w:cs="Jost" w:eastAsia="Jost" w:hAnsi="Jost"/>
          <w:b w:val="false"/>
          <w:bCs w:val="false"/>
          <w:i w:val="false"/>
          <w:iCs w:val="false"/>
          <w:color w:val="3E4431"/>
          <w:sz w:val="21"/>
          <w:szCs w:val="21"/>
        </w:rPr>
        <w:t xml:space="preserve">If personal information is lost, disclosed, or accessed by someone who should not have it, we will look into it immediately and act to limit the damage.</w:t>
      </w:r>
    </w:p>
    <w:p>
      <w:pPr>
        <w:spacing w:after="150" w:line="300"/>
      </w:pPr>
      <w:r>
        <w:rPr>
          <w:rFonts w:ascii="Jost" w:cs="Jost" w:eastAsia="Jost" w:hAnsi="Jost"/>
          <w:b w:val="false"/>
          <w:bCs w:val="false"/>
          <w:i w:val="false"/>
          <w:iCs w:val="false"/>
          <w:color w:val="3E4431"/>
          <w:sz w:val="21"/>
          <w:szCs w:val="21"/>
        </w:rPr>
        <w:t xml:space="preserve">Where the law requires it we will report it to the Data Protection Commission within seventy two hours of becoming aware of it. Where there is a high risk to you, we will tell you directly, in plain terms, and say what we are doing about it.</w:t>
      </w:r>
    </w:p>
    <w:p>
      <w:pPr>
        <w:pStyle w:val="Heading1"/>
        <w:spacing w:after="140" w:before="380"/>
      </w:pPr>
      <w:r>
        <w:rPr>
          <w:rFonts w:ascii="Cormorant Garamond" w:cs="Cormorant Garamond" w:eastAsia="Cormorant Garamond" w:hAnsi="Cormorant Garamond"/>
          <w:b/>
          <w:bCs/>
          <w:i/>
          <w:iCs/>
          <w:color w:val="3E4431"/>
          <w:sz w:val="38"/>
          <w:szCs w:val="38"/>
        </w:rPr>
        <w:t xml:space="preserve">13. Children</w:t>
      </w:r>
    </w:p>
    <w:p>
      <w:pPr>
        <w:spacing w:after="150" w:line="300"/>
      </w:pPr>
      <w:r>
        <w:rPr>
          <w:rFonts w:ascii="Jost" w:cs="Jost" w:eastAsia="Jost" w:hAnsi="Jost"/>
          <w:b w:val="false"/>
          <w:bCs w:val="false"/>
          <w:i w:val="false"/>
          <w:iCs w:val="false"/>
          <w:color w:val="3E4431"/>
          <w:sz w:val="21"/>
          <w:szCs w:val="21"/>
        </w:rPr>
        <w:t xml:space="preserve">Our services are for adults. We do not knowingly collect information about anyone under eighteen, and enrolment requires you to confirm that you are over eighteen. If you believe we hold information about a child, tell us and we will delete it.</w:t>
      </w:r>
    </w:p>
    <w:p>
      <w:pPr>
        <w:pStyle w:val="Heading1"/>
        <w:spacing w:after="140" w:before="380"/>
      </w:pPr>
      <w:r>
        <w:rPr>
          <w:rFonts w:ascii="Cormorant Garamond" w:cs="Cormorant Garamond" w:eastAsia="Cormorant Garamond" w:hAnsi="Cormorant Garamond"/>
          <w:b/>
          <w:bCs/>
          <w:i/>
          <w:iCs/>
          <w:color w:val="3E4431"/>
          <w:sz w:val="38"/>
          <w:szCs w:val="38"/>
        </w:rPr>
        <w:t xml:space="preserve">14. Complaints</w:t>
      </w:r>
    </w:p>
    <w:p>
      <w:pPr>
        <w:spacing w:after="150" w:line="300"/>
      </w:pPr>
      <w:r>
        <w:rPr>
          <w:rFonts w:ascii="Jost" w:cs="Jost" w:eastAsia="Jost" w:hAnsi="Jost"/>
          <w:b w:val="false"/>
          <w:bCs w:val="false"/>
          <w:i w:val="false"/>
          <w:iCs w:val="false"/>
          <w:color w:val="3E4431"/>
          <w:sz w:val="21"/>
          <w:szCs w:val="21"/>
        </w:rPr>
        <w:t xml:space="preserve">If you are unhappy with how we have handled your information, please tell us first at info@sevenrivers-wellness.com. We would rather put it right ourselves.</w:t>
      </w:r>
    </w:p>
    <w:p>
      <w:pPr>
        <w:spacing w:after="150" w:line="300"/>
      </w:pPr>
      <w:r>
        <w:rPr>
          <w:rFonts w:ascii="Jost" w:cs="Jost" w:eastAsia="Jost" w:hAnsi="Jost"/>
          <w:b w:val="false"/>
          <w:bCs w:val="false"/>
          <w:i w:val="false"/>
          <w:iCs w:val="false"/>
          <w:color w:val="3E4431"/>
          <w:sz w:val="21"/>
          <w:szCs w:val="21"/>
        </w:rPr>
        <w:t xml:space="preserve">You also have the right to complain to the Data Protection Commission at any time, whether or not you have raised it with us.</w:t>
      </w:r>
    </w:p>
    <w:p>
      <w:pPr>
        <w:spacing w:after="80"/>
      </w:pPr>
    </w:p>
    <w:tbl>
      <w:tblPr>
        <w:tblW w:type="dxa" w:w="9026"/>
        <w:tblBorders>
          <w:top w:val="none" w:color="FFFFFF" w:sz="0"/>
          <w:left w:val="none" w:color="FFFFFF" w:sz="0"/>
          <w:bottom w:val="none" w:color="FFFFFF" w:sz="0"/>
          <w:right w:val="none" w:color="FFFFFF" w:sz="0"/>
          <w:insideH w:val="none" w:color="FFFFFF" w:sz="0"/>
          <w:insideV w:val="none" w:color="FFFFFF" w:sz="0"/>
        </w:tblBorders>
      </w:tblPr>
      <w:tblGrid>
        <w:gridCol w:w="9026"/>
      </w:tblGrid>
      <w:tr>
        <w:tc>
          <w:tcPr>
            <w:tcW w:type="dxa" w:w="9026"/>
            <w:shd w:fill="F1EBDC" w:color="auto" w:val="clear"/>
            <w:tcMar>
              <w:top w:type="dxa" w:w="220"/>
              <w:left w:type="dxa" w:w="280"/>
              <w:bottom w:type="dxa" w:w="220"/>
              <w:right w:type="dxa" w:w="280"/>
            </w:tcMar>
          </w:tcPr>
          <w:p>
            <w:pPr>
              <w:spacing w:after="90"/>
            </w:pPr>
            <w:r>
              <w:rPr>
                <w:rFonts w:ascii="Cormorant Garamond" w:cs="Cormorant Garamond" w:eastAsia="Cormorant Garamond" w:hAnsi="Cormorant Garamond"/>
                <w:b/>
                <w:bCs/>
                <w:i/>
                <w:iCs/>
                <w:color w:val="3E4431"/>
                <w:sz w:val="27"/>
                <w:szCs w:val="27"/>
              </w:rPr>
              <w:t xml:space="preserve">Data Protection Commission</w:t>
            </w:r>
          </w:p>
          <w:p>
            <w:pPr>
              <w:spacing w:after="110" w:line="300"/>
            </w:pPr>
            <w:r>
              <w:rPr>
                <w:rFonts w:ascii="Jost" w:cs="Jost" w:eastAsia="Jost" w:hAnsi="Jost"/>
                <w:color w:val="3E4431"/>
                <w:sz w:val="20"/>
                <w:szCs w:val="20"/>
              </w:rPr>
              <w:t xml:space="preserve">6 Pembroke Row, Dublin 2, D02 X963, Ireland.</w:t>
            </w:r>
          </w:p>
          <w:p>
            <w:pPr>
              <w:spacing w:after="110" w:line="300"/>
            </w:pPr>
            <w:r>
              <w:rPr>
                <w:rFonts w:ascii="Jost" w:cs="Jost" w:eastAsia="Jost" w:hAnsi="Jost"/>
                <w:color w:val="3E4431"/>
                <w:sz w:val="20"/>
                <w:szCs w:val="20"/>
              </w:rPr>
              <w:t xml:space="preserve">Telephone: 01 765 0100 or 1800 437 437.</w:t>
            </w:r>
          </w:p>
          <w:p>
            <w:pPr>
              <w:spacing w:after="110" w:line="300"/>
            </w:pPr>
            <w:r>
              <w:rPr>
                <w:rFonts w:ascii="Jost" w:cs="Jost" w:eastAsia="Jost" w:hAnsi="Jost"/>
                <w:color w:val="3E4431"/>
                <w:sz w:val="20"/>
                <w:szCs w:val="20"/>
              </w:rPr>
              <w:t xml:space="preserve">Website: dataprotection.ie</w:t>
            </w:r>
          </w:p>
          <w:p>
            <w:pPr>
              <w:spacing w:after="0" w:line="300"/>
            </w:pPr>
            <w:r>
              <w:rPr>
                <w:rFonts w:ascii="Jost" w:cs="Jost" w:eastAsia="Jost" w:hAnsi="Jost"/>
                <w:color w:val="3E4431"/>
                <w:sz w:val="20"/>
                <w:szCs w:val="20"/>
              </w:rPr>
              <w:t xml:space="preserve">Complaints must be made in writing, through the webform on their website. There is no charge.</w:t>
            </w:r>
          </w:p>
        </w:tc>
      </w:tr>
    </w:tbl>
    <w:p>
      <w:pPr>
        <w:pStyle w:val="Heading1"/>
        <w:spacing w:after="140" w:before="380"/>
      </w:pPr>
      <w:r>
        <w:rPr>
          <w:rFonts w:ascii="Cormorant Garamond" w:cs="Cormorant Garamond" w:eastAsia="Cormorant Garamond" w:hAnsi="Cormorant Garamond"/>
          <w:b/>
          <w:bCs/>
          <w:i/>
          <w:iCs/>
          <w:color w:val="3E4431"/>
          <w:sz w:val="38"/>
          <w:szCs w:val="38"/>
        </w:rPr>
        <w:t xml:space="preserve">15. Changes to this policy</w:t>
      </w:r>
    </w:p>
    <w:p>
      <w:pPr>
        <w:spacing w:after="150" w:line="300"/>
      </w:pPr>
      <w:r>
        <w:rPr>
          <w:rFonts w:ascii="Jost" w:cs="Jost" w:eastAsia="Jost" w:hAnsi="Jost"/>
          <w:b w:val="false"/>
          <w:bCs w:val="false"/>
          <w:i w:val="false"/>
          <w:iCs w:val="false"/>
          <w:color w:val="3E4431"/>
          <w:sz w:val="21"/>
          <w:szCs w:val="21"/>
        </w:rPr>
        <w:t xml:space="preserve">We may update this policy. The version number and effective date at the top of the page tell you which version you are reading. If we make a change that materially affects how we use your information, we will tell existing clients by email rather than relying on you to notice.</w:t>
      </w:r>
    </w:p>
    <w:p>
      <w:pPr>
        <w:spacing w:after="280"/>
      </w:pPr>
    </w:p>
    <w:p>
      <w:pPr>
        <w:pBdr>
          <w:top w:val="single" w:color="4D5732" w:sz="6" w:space="8"/>
        </w:pBdr>
        <w:spacing w:before="200"/>
      </w:pPr>
      <w:r>
        <w:rPr>
          <w:rFonts w:ascii="Jost" w:cs="Jost" w:eastAsia="Jost" w:hAnsi="Jost"/>
          <w:color w:val="4D5732"/>
          <w:sz w:val="17"/>
          <w:szCs w:val="17"/>
        </w:rPr>
        <w:t xml:space="preserve">Version 1.1. Seven Rivers Wellness, Kylebrack, Loughrea, Co. Galway, Republic of Ireland. info@sevenrivers-wellness.com</w:t>
      </w:r>
    </w:p>
    <w:sectPr>
      <w:pgSz w:w="11906" w:h="16838" w:orient="portrait"/>
      <w:pgMar w:top="1100" w:right="1180" w:bottom="1100" w:left="11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Jost" w:cs="Jost" w:eastAsia="Jost" w:hAnsi="Jost"/>
        <w:color w:val="3E4431"/>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Policy v1.1</dc:title>
  <dc:creator>Seven Rivers Wellness</dc:creator>
  <cp:lastModifiedBy>Un-named</cp:lastModifiedBy>
  <cp:revision>1</cp:revision>
  <dcterms:created xsi:type="dcterms:W3CDTF">2026-08-11T12:37:52.005Z</dcterms:created>
  <dcterms:modified xsi:type="dcterms:W3CDTF">2026-08-11T12:37:52.005Z</dcterms:modified>
</cp:coreProperties>
</file>

<file path=docProps/custom.xml><?xml version="1.0" encoding="utf-8"?>
<Properties xmlns="http://schemas.openxmlformats.org/officeDocument/2006/custom-properties" xmlns:vt="http://schemas.openxmlformats.org/officeDocument/2006/docPropsVTypes"/>
</file>