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D040" w14:textId="4C4C96CF" w:rsidR="00D93EF1" w:rsidRPr="00676A3B" w:rsidRDefault="008826AA">
      <w:pPr>
        <w:rPr>
          <w:b/>
          <w:sz w:val="28"/>
        </w:rPr>
      </w:pPr>
      <w:r>
        <w:rPr>
          <w:b/>
          <w:sz w:val="28"/>
        </w:rPr>
        <w:t xml:space="preserve">      </w:t>
      </w:r>
      <w:r>
        <w:rPr>
          <w:b/>
          <w:noProof/>
          <w:sz w:val="28"/>
        </w:rPr>
        <w:drawing>
          <wp:inline distT="0" distB="0" distL="0" distR="0" wp14:anchorId="0D80100F" wp14:editId="0465EB6B">
            <wp:extent cx="2701134" cy="484293"/>
            <wp:effectExtent l="0" t="0" r="4445" b="0"/>
            <wp:docPr id="159054063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40635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0733" cy="5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676A3B" w:rsidRPr="00676A3B">
        <w:rPr>
          <w:b/>
          <w:sz w:val="28"/>
        </w:rPr>
        <w:t>Observation</w:t>
      </w:r>
      <w:r w:rsidR="00695704">
        <w:rPr>
          <w:b/>
          <w:sz w:val="28"/>
        </w:rPr>
        <w:t>, Assessment &amp; Planning</w:t>
      </w:r>
      <w:r w:rsidR="00EB6BCC">
        <w:rPr>
          <w:b/>
          <w:sz w:val="28"/>
        </w:rPr>
        <w:t xml:space="preserve"> (Pre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7920"/>
        <w:gridCol w:w="3629"/>
      </w:tblGrid>
      <w:tr w:rsidR="00D93EF1" w:rsidRPr="00B023AF" w14:paraId="76C2BE09" w14:textId="77777777" w:rsidTr="00865CE3">
        <w:tc>
          <w:tcPr>
            <w:tcW w:w="0" w:type="auto"/>
            <w:gridSpan w:val="3"/>
          </w:tcPr>
          <w:p w14:paraId="638F2281" w14:textId="708AA3A2" w:rsidR="00D93EF1" w:rsidRPr="00B023AF" w:rsidRDefault="00490E85" w:rsidP="00B023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Child</w:t>
            </w:r>
            <w:r w:rsidR="00D93EF1" w:rsidRPr="00B023AF">
              <w:rPr>
                <w:b/>
              </w:rPr>
              <w:t xml:space="preserve">:            </w:t>
            </w:r>
            <w:r w:rsidR="00D93EF1" w:rsidRPr="00660471">
              <w:rPr>
                <w:b/>
                <w:color w:val="00B0F0"/>
              </w:rPr>
              <w:t xml:space="preserve"> </w:t>
            </w:r>
            <w:r w:rsidR="00660471" w:rsidRPr="009B4489">
              <w:rPr>
                <w:bCs/>
                <w:color w:val="00B0F0"/>
                <w:sz w:val="20"/>
                <w:szCs w:val="20"/>
              </w:rPr>
              <w:t>Maeve</w:t>
            </w:r>
            <w:r w:rsidR="00D93EF1" w:rsidRPr="009B4489">
              <w:rPr>
                <w:b/>
                <w:color w:val="00B0F0"/>
                <w:sz w:val="20"/>
                <w:szCs w:val="20"/>
              </w:rPr>
              <w:t xml:space="preserve"> </w:t>
            </w:r>
            <w:r w:rsidR="009B4489" w:rsidRPr="009B4489">
              <w:rPr>
                <w:b/>
                <w:color w:val="00B0F0"/>
                <w:sz w:val="20"/>
                <w:szCs w:val="20"/>
              </w:rPr>
              <w:t>(3:11)</w:t>
            </w:r>
            <w:r w:rsidR="00D93EF1" w:rsidRPr="009B4489">
              <w:rPr>
                <w:b/>
                <w:color w:val="00B0F0"/>
                <w:sz w:val="20"/>
                <w:szCs w:val="20"/>
              </w:rPr>
              <w:t xml:space="preserve">                                                                </w:t>
            </w:r>
            <w:r w:rsidR="0021659F" w:rsidRPr="009B4489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793EE4" w:rsidRPr="00793EE4">
              <w:rPr>
                <w:b/>
                <w:color w:val="000000" w:themeColor="text1"/>
                <w:sz w:val="20"/>
                <w:szCs w:val="20"/>
              </w:rPr>
              <w:t xml:space="preserve">Date of Assessment: </w:t>
            </w:r>
            <w:r w:rsidR="00507412" w:rsidRPr="00507412">
              <w:rPr>
                <w:b/>
                <w:color w:val="00B0F0"/>
                <w:sz w:val="20"/>
                <w:szCs w:val="20"/>
              </w:rPr>
              <w:t>25.11.20</w:t>
            </w:r>
          </w:p>
          <w:p w14:paraId="052BA76D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 xml:space="preserve">                                                                                </w:t>
            </w:r>
          </w:p>
        </w:tc>
      </w:tr>
      <w:tr w:rsidR="00D93EF1" w:rsidRPr="00B023AF" w14:paraId="4DF72531" w14:textId="77777777" w:rsidTr="00DE58CE">
        <w:tc>
          <w:tcPr>
            <w:tcW w:w="3595" w:type="dxa"/>
          </w:tcPr>
          <w:p w14:paraId="4AFB22CF" w14:textId="4ACAC2EE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WHAT?</w:t>
            </w:r>
            <w:r w:rsidR="005A633C">
              <w:rPr>
                <w:b/>
              </w:rPr>
              <w:t xml:space="preserve">  (</w:t>
            </w:r>
            <w:r w:rsidR="005A633C">
              <w:t>Observation)</w:t>
            </w:r>
          </w:p>
          <w:p w14:paraId="5FA50065" w14:textId="580D1E06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2431B15B" w14:textId="04963BFA" w:rsidR="00D93EF1" w:rsidRPr="00B023AF" w:rsidRDefault="00AC34A7" w:rsidP="00B023AF">
            <w:pPr>
              <w:spacing w:after="0" w:line="240" w:lineRule="auto"/>
            </w:pPr>
            <w:r w:rsidRPr="00B023AF">
              <w:rPr>
                <w:b/>
                <w:bCs/>
                <w:i/>
                <w:iCs/>
              </w:rPr>
              <w:t>Describe what you observe the child doing</w:t>
            </w:r>
            <w:r>
              <w:rPr>
                <w:b/>
                <w:bCs/>
                <w:i/>
                <w:iCs/>
              </w:rPr>
              <w:t xml:space="preserve"> as he/she moves through the session</w:t>
            </w:r>
            <w:r w:rsidRPr="00B023AF">
              <w:t xml:space="preserve"> </w:t>
            </w:r>
          </w:p>
        </w:tc>
        <w:tc>
          <w:tcPr>
            <w:tcW w:w="7920" w:type="dxa"/>
          </w:tcPr>
          <w:p w14:paraId="71612FA3" w14:textId="2CE220C8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SO WHAT?</w:t>
            </w:r>
            <w:r w:rsidR="005A633C">
              <w:rPr>
                <w:b/>
              </w:rPr>
              <w:t xml:space="preserve">  (</w:t>
            </w:r>
            <w:r w:rsidRPr="00B023AF">
              <w:t>Learning</w:t>
            </w:r>
            <w:r w:rsidR="005A633C">
              <w:t>)</w:t>
            </w:r>
          </w:p>
          <w:p w14:paraId="7A1074E4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03229C2C" w14:textId="77777777" w:rsidR="008D0C61" w:rsidRDefault="00AC34A7" w:rsidP="00B023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What are these observations telling you about the </w:t>
            </w:r>
            <w:r w:rsidR="005A633C">
              <w:rPr>
                <w:b/>
                <w:bCs/>
                <w:i/>
                <w:iCs/>
              </w:rPr>
              <w:t>child’s development across the 6</w:t>
            </w:r>
            <w:r>
              <w:rPr>
                <w:b/>
                <w:bCs/>
                <w:i/>
                <w:iCs/>
              </w:rPr>
              <w:t xml:space="preserve"> key areas?</w:t>
            </w:r>
          </w:p>
          <w:p w14:paraId="386D721B" w14:textId="0FB395B2" w:rsidR="00546B6B" w:rsidRPr="00B023AF" w:rsidRDefault="00546B6B" w:rsidP="00B023A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What are the child’s understandings and misunderstandings?</w:t>
            </w:r>
          </w:p>
        </w:tc>
        <w:tc>
          <w:tcPr>
            <w:tcW w:w="3629" w:type="dxa"/>
          </w:tcPr>
          <w:p w14:paraId="62E57EF6" w14:textId="4E2F764F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NOW WHAT?</w:t>
            </w:r>
            <w:r w:rsidR="005A633C">
              <w:rPr>
                <w:b/>
              </w:rPr>
              <w:t xml:space="preserve">  (</w:t>
            </w:r>
            <w:r w:rsidRPr="00B023AF">
              <w:t>Planning</w:t>
            </w:r>
            <w:r w:rsidR="005A633C">
              <w:t>)</w:t>
            </w:r>
          </w:p>
          <w:p w14:paraId="0DDAA0FA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747880EE" w14:textId="61D86A92" w:rsidR="00D93EF1" w:rsidRPr="00D70D23" w:rsidRDefault="00546B6B" w:rsidP="00B023AF">
            <w:pPr>
              <w:spacing w:after="0" w:line="240" w:lineRule="auto"/>
              <w:rPr>
                <w:i/>
              </w:rPr>
            </w:pPr>
            <w:r>
              <w:rPr>
                <w:b/>
                <w:bCs/>
                <w:i/>
                <w:iCs/>
              </w:rPr>
              <w:t xml:space="preserve">What is the next level of intended </w:t>
            </w:r>
            <w:r w:rsidRPr="00B023AF">
              <w:rPr>
                <w:b/>
                <w:bCs/>
                <w:i/>
                <w:iCs/>
              </w:rPr>
              <w:t>learning</w:t>
            </w:r>
            <w:r>
              <w:rPr>
                <w:b/>
                <w:bCs/>
                <w:i/>
                <w:iCs/>
              </w:rPr>
              <w:t xml:space="preserve"> and development for the child? </w:t>
            </w:r>
            <w:r w:rsidR="00494655" w:rsidRPr="00870904">
              <w:rPr>
                <w:sz w:val="16"/>
                <w:szCs w:val="16"/>
              </w:rPr>
              <w:t>(Link to planning with child’s initials)</w:t>
            </w:r>
          </w:p>
        </w:tc>
      </w:tr>
      <w:tr w:rsidR="00865CE3" w:rsidRPr="00B023AF" w14:paraId="665527E1" w14:textId="77777777" w:rsidTr="00DE58CE">
        <w:trPr>
          <w:trHeight w:val="2554"/>
        </w:trPr>
        <w:tc>
          <w:tcPr>
            <w:tcW w:w="3595" w:type="dxa"/>
          </w:tcPr>
          <w:p w14:paraId="1D5AB706" w14:textId="175E4CFF" w:rsidR="00865CE3" w:rsidRDefault="00865CE3" w:rsidP="00B023AF">
            <w:pPr>
              <w:spacing w:after="0" w:line="240" w:lineRule="auto"/>
            </w:pPr>
          </w:p>
          <w:p w14:paraId="3C2C1C13" w14:textId="003464A7" w:rsidR="00865CE3" w:rsidRPr="0021659F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21659F">
              <w:rPr>
                <w:color w:val="00B0F0"/>
                <w:sz w:val="20"/>
                <w:szCs w:val="20"/>
              </w:rPr>
              <w:t>When you have completed the So What section – simply staple your observations on top of this box.</w:t>
            </w:r>
          </w:p>
          <w:p w14:paraId="7506199B" w14:textId="06113F55" w:rsidR="00E2539B" w:rsidRPr="0021659F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14:paraId="5EB750A8" w14:textId="353C80AA" w:rsidR="00E2539B" w:rsidRPr="0021659F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21659F">
              <w:rPr>
                <w:color w:val="00B0F0"/>
                <w:sz w:val="20"/>
                <w:szCs w:val="20"/>
              </w:rPr>
              <w:t>You do not need to write anything in this box!</w:t>
            </w:r>
          </w:p>
          <w:p w14:paraId="71E7337B" w14:textId="77777777" w:rsidR="0021659F" w:rsidRPr="0021659F" w:rsidRDefault="0021659F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14:paraId="4CD6AEBB" w14:textId="1896C9D8" w:rsidR="0021659F" w:rsidRPr="0021659F" w:rsidRDefault="0021659F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21659F">
              <w:rPr>
                <w:color w:val="00B0F0"/>
                <w:sz w:val="20"/>
                <w:szCs w:val="20"/>
              </w:rPr>
              <w:t>Signpost here to any photos or video footage you have stored electronically that supports your assessment – you do not need to print photos.</w:t>
            </w:r>
          </w:p>
          <w:p w14:paraId="033DD5E7" w14:textId="77777777" w:rsidR="00865CE3" w:rsidRDefault="00865CE3" w:rsidP="00B023AF">
            <w:pPr>
              <w:spacing w:after="0" w:line="240" w:lineRule="auto"/>
            </w:pPr>
          </w:p>
          <w:p w14:paraId="7643BFF4" w14:textId="77777777" w:rsidR="00865CE3" w:rsidRDefault="00865CE3" w:rsidP="00B023AF">
            <w:pPr>
              <w:spacing w:after="0" w:line="240" w:lineRule="auto"/>
            </w:pPr>
          </w:p>
          <w:p w14:paraId="53D2CAF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7920" w:type="dxa"/>
            <w:vMerge w:val="restart"/>
          </w:tcPr>
          <w:p w14:paraId="7BE0F82B" w14:textId="35FF50C7" w:rsidR="00A91C46" w:rsidRDefault="00A91C46" w:rsidP="00A91C46">
            <w:pPr>
              <w:spacing w:after="0" w:line="240" w:lineRule="auto"/>
            </w:pPr>
            <w:r>
              <w:t xml:space="preserve">Personal, </w:t>
            </w:r>
            <w:r w:rsidRPr="00B023AF">
              <w:t>Social &amp; Emotional</w:t>
            </w:r>
            <w:r>
              <w:t xml:space="preserve"> Development</w:t>
            </w:r>
          </w:p>
          <w:p w14:paraId="457D5417" w14:textId="05CF61A6" w:rsidR="00A91C46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Confident to speak to adult. Knows routines and is comfortable with the environment. Brave and understanding. Can make choices. Uses social communication appropriately. Uses equipment appropriately. Engages well with</w:t>
            </w:r>
            <w:r w:rsidR="0021659F">
              <w:rPr>
                <w:color w:val="00B0F0"/>
                <w:sz w:val="20"/>
                <w:szCs w:val="20"/>
              </w:rPr>
              <w:t xml:space="preserve"> adults and</w:t>
            </w:r>
            <w:r w:rsidRPr="004F3499">
              <w:rPr>
                <w:color w:val="00B0F0"/>
                <w:sz w:val="20"/>
                <w:szCs w:val="20"/>
              </w:rPr>
              <w:t xml:space="preserve"> children. Good levels of concentration.</w:t>
            </w:r>
          </w:p>
          <w:p w14:paraId="0216B579" w14:textId="77777777" w:rsidR="004F3499" w:rsidRPr="004F3499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14:paraId="47B34F40" w14:textId="12F55521" w:rsidR="00A91C46" w:rsidRPr="004F3499" w:rsidRDefault="00A91C46" w:rsidP="00A91C46">
            <w:pPr>
              <w:spacing w:after="0" w:line="240" w:lineRule="auto"/>
            </w:pPr>
            <w:r w:rsidRPr="00B023AF">
              <w:t>Physical</w:t>
            </w:r>
            <w:r>
              <w:t xml:space="preserve"> Development &amp; Movement</w:t>
            </w:r>
          </w:p>
          <w:p w14:paraId="1F340E82" w14:textId="2F2B1F78" w:rsidR="00A91C46" w:rsidRPr="004F3499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Not yet applying appropriate pressure when mark making</w:t>
            </w:r>
            <w:r w:rsidR="002428B6">
              <w:rPr>
                <w:color w:val="00B0F0"/>
                <w:sz w:val="20"/>
                <w:szCs w:val="20"/>
              </w:rPr>
              <w:t>. Pincer control and hand muscles are developing.</w:t>
            </w:r>
          </w:p>
          <w:p w14:paraId="53A66AAC" w14:textId="77777777" w:rsidR="004F3499" w:rsidRPr="004F3499" w:rsidRDefault="004F3499" w:rsidP="00A91C46">
            <w:pPr>
              <w:spacing w:after="0" w:line="240" w:lineRule="auto"/>
              <w:rPr>
                <w:color w:val="00B0F0"/>
              </w:rPr>
            </w:pPr>
          </w:p>
          <w:p w14:paraId="534C6D06" w14:textId="740FDA3B" w:rsidR="00A91C46" w:rsidRDefault="00A91C46" w:rsidP="00A91C46">
            <w:pPr>
              <w:spacing w:after="0" w:line="240" w:lineRule="auto"/>
            </w:pPr>
            <w:r w:rsidRPr="00B023AF">
              <w:t>Language</w:t>
            </w:r>
            <w:r>
              <w:t xml:space="preserve"> Development</w:t>
            </w:r>
          </w:p>
          <w:p w14:paraId="7B0165A3" w14:textId="3C3CA711" w:rsidR="00A91C46" w:rsidRPr="004F3499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Has clear verbal communication and a good range of vocabulary. Can listen well and attend to stories.</w:t>
            </w:r>
          </w:p>
          <w:p w14:paraId="204B57C0" w14:textId="7DE21549" w:rsidR="00A91C46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Know that marks convey meaning</w:t>
            </w:r>
          </w:p>
          <w:p w14:paraId="655787C1" w14:textId="77777777" w:rsidR="004F3499" w:rsidRPr="004F3499" w:rsidRDefault="004F3499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14:paraId="5F43776A" w14:textId="2B1D5B7B" w:rsidR="00A91C46" w:rsidRDefault="00A91C46" w:rsidP="00A91C46">
            <w:pPr>
              <w:spacing w:after="0" w:line="240" w:lineRule="auto"/>
            </w:pPr>
            <w:r>
              <w:t>Early Mathematical Experiences</w:t>
            </w:r>
          </w:p>
          <w:p w14:paraId="1FF4B896" w14:textId="30D52DD0" w:rsidR="00A91C46" w:rsidRPr="004F3499" w:rsidRDefault="004F3499" w:rsidP="00A91C46">
            <w:pPr>
              <w:spacing w:after="0" w:line="240" w:lineRule="auto"/>
              <w:rPr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Aware of time and happenings in the future.</w:t>
            </w:r>
            <w:r w:rsidR="002428B6">
              <w:rPr>
                <w:color w:val="00B0F0"/>
                <w:sz w:val="20"/>
                <w:szCs w:val="20"/>
              </w:rPr>
              <w:t xml:space="preserve"> Confident to express ideas through model making.</w:t>
            </w:r>
          </w:p>
          <w:p w14:paraId="000FDF28" w14:textId="77777777" w:rsidR="005F0387" w:rsidRDefault="005F0387" w:rsidP="00A91C46">
            <w:pPr>
              <w:spacing w:after="0" w:line="240" w:lineRule="auto"/>
            </w:pPr>
          </w:p>
          <w:p w14:paraId="305C51C2" w14:textId="45BEB2C0" w:rsidR="007D7162" w:rsidRPr="00A91C46" w:rsidRDefault="007D7162" w:rsidP="007D7162">
            <w:pPr>
              <w:spacing w:after="0" w:line="240" w:lineRule="auto"/>
            </w:pPr>
            <w:r>
              <w:t>The Arts</w:t>
            </w:r>
          </w:p>
          <w:p w14:paraId="0FD5220A" w14:textId="207BF40A" w:rsidR="00865CE3" w:rsidRPr="004F3499" w:rsidRDefault="004F3499" w:rsidP="00B023AF">
            <w:pPr>
              <w:spacing w:after="0" w:line="240" w:lineRule="auto"/>
              <w:rPr>
                <w:color w:val="00B0F0"/>
                <w:sz w:val="20"/>
                <w:szCs w:val="24"/>
              </w:rPr>
            </w:pPr>
            <w:r w:rsidRPr="004F3499">
              <w:rPr>
                <w:color w:val="00B0F0"/>
                <w:sz w:val="20"/>
                <w:szCs w:val="24"/>
              </w:rPr>
              <w:t>Demonstrates good imagination</w:t>
            </w:r>
          </w:p>
          <w:p w14:paraId="66E6EF80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104F56BD" w14:textId="77777777" w:rsidR="00A91C46" w:rsidRDefault="007D7162" w:rsidP="00B023AF">
            <w:pPr>
              <w:spacing w:after="0" w:line="240" w:lineRule="auto"/>
            </w:pPr>
            <w:r>
              <w:t>The World Around Us</w:t>
            </w:r>
          </w:p>
          <w:p w14:paraId="063E39E8" w14:textId="4087D273" w:rsidR="0021659F" w:rsidRPr="00507412" w:rsidRDefault="004F3499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4F3499">
              <w:rPr>
                <w:color w:val="00B0F0"/>
                <w:sz w:val="20"/>
                <w:szCs w:val="20"/>
              </w:rPr>
              <w:t>Aware of family relationships and events. Aware of and can describe weather conditions appropriately.</w:t>
            </w:r>
          </w:p>
        </w:tc>
        <w:tc>
          <w:tcPr>
            <w:tcW w:w="3629" w:type="dxa"/>
            <w:vMerge w:val="restart"/>
          </w:tcPr>
          <w:p w14:paraId="251D2F04" w14:textId="77777777" w:rsidR="00DE58CE" w:rsidRPr="00DE58CE" w:rsidRDefault="00DE58CE" w:rsidP="00DE58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 xml:space="preserve">Offer M small leadership roles to foster responsibility. </w:t>
            </w:r>
          </w:p>
          <w:p w14:paraId="3B03DBAC" w14:textId="0CE79CD7" w:rsidR="00DE58CE" w:rsidRDefault="00DE58CE" w:rsidP="00DE58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 xml:space="preserve">Create situations where she can act as a “buddy” to support other children </w:t>
            </w:r>
          </w:p>
          <w:p w14:paraId="2AFCCE0D" w14:textId="77777777" w:rsidR="008826AA" w:rsidRPr="008826AA" w:rsidRDefault="008826AA" w:rsidP="008826AA">
            <w:pPr>
              <w:pStyle w:val="ListParagraph"/>
              <w:spacing w:after="0" w:line="240" w:lineRule="auto"/>
              <w:ind w:left="360"/>
              <w:rPr>
                <w:rFonts w:cs="Calibri"/>
                <w:color w:val="00B0F0"/>
                <w:sz w:val="20"/>
                <w:szCs w:val="20"/>
              </w:rPr>
            </w:pPr>
          </w:p>
          <w:p w14:paraId="318367D0" w14:textId="77777777" w:rsidR="00DE58CE" w:rsidRPr="00DE58CE" w:rsidRDefault="00DE58CE" w:rsidP="00DE58CE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>Develop deep sensory system and hand muscle through:</w:t>
            </w:r>
          </w:p>
          <w:p w14:paraId="193270C7" w14:textId="77777777" w:rsidR="00DE58CE" w:rsidRPr="00DE58CE" w:rsidRDefault="00DE58CE" w:rsidP="00DE58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>lifting, carrying, pushing, pulling heavy items</w:t>
            </w:r>
          </w:p>
          <w:p w14:paraId="3F1D5072" w14:textId="77777777" w:rsidR="00DE58CE" w:rsidRPr="00DE58CE" w:rsidRDefault="00DE58CE" w:rsidP="00DE58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>pressing down firmly on objects, e.g. hole puncher, stapler, potato prints …</w:t>
            </w:r>
          </w:p>
          <w:p w14:paraId="0CE2248C" w14:textId="5B880363" w:rsidR="00DE58CE" w:rsidRDefault="00DE58CE" w:rsidP="008826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>clay work, spray bottles, stretching elastic bands over objects …</w:t>
            </w:r>
          </w:p>
          <w:p w14:paraId="35DABA80" w14:textId="77777777" w:rsidR="008826AA" w:rsidRPr="008826AA" w:rsidRDefault="008826AA" w:rsidP="008826AA">
            <w:pPr>
              <w:pStyle w:val="ListParagraph"/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</w:p>
          <w:p w14:paraId="481D6F05" w14:textId="77777777" w:rsidR="00DE58CE" w:rsidRPr="00DE58CE" w:rsidRDefault="00DE58CE" w:rsidP="00DE58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 xml:space="preserve">Extend vocabulary by introducing rich storybooks </w:t>
            </w:r>
          </w:p>
          <w:p w14:paraId="3BAC8541" w14:textId="77777777" w:rsidR="00DE58CE" w:rsidRDefault="00DE58CE" w:rsidP="00DE58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>Support early writing by providing spaces for mark making, drawing and creating books</w:t>
            </w:r>
          </w:p>
          <w:p w14:paraId="1C40359A" w14:textId="743BF82B" w:rsidR="004F3499" w:rsidRPr="00DE58CE" w:rsidRDefault="00DE58CE" w:rsidP="00DE58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DE58CE">
              <w:rPr>
                <w:rFonts w:cs="Calibri"/>
                <w:color w:val="00B0F0"/>
                <w:sz w:val="20"/>
                <w:szCs w:val="20"/>
              </w:rPr>
              <w:t xml:space="preserve">Add wedding items to role play to encourage conversation and extended play </w:t>
            </w:r>
          </w:p>
        </w:tc>
      </w:tr>
      <w:tr w:rsidR="00865CE3" w:rsidRPr="00B023AF" w14:paraId="7C20376E" w14:textId="77777777" w:rsidTr="00DE58CE">
        <w:trPr>
          <w:trHeight w:val="1205"/>
        </w:trPr>
        <w:tc>
          <w:tcPr>
            <w:tcW w:w="3595" w:type="dxa"/>
          </w:tcPr>
          <w:p w14:paraId="6BE7D69D" w14:textId="77777777" w:rsidR="00865CE3" w:rsidRDefault="00865CE3" w:rsidP="00B023AF">
            <w:pPr>
              <w:spacing w:after="0" w:line="240" w:lineRule="auto"/>
            </w:pPr>
          </w:p>
          <w:p w14:paraId="6C030E04" w14:textId="23319758" w:rsidR="00DE58CE" w:rsidRPr="00B023AF" w:rsidRDefault="00865CE3" w:rsidP="00B023AF">
            <w:pPr>
              <w:spacing w:after="0" w:line="240" w:lineRule="auto"/>
            </w:pPr>
            <w:r>
              <w:t xml:space="preserve">Involvement Level – </w:t>
            </w:r>
            <w:r w:rsidRPr="004F3499">
              <w:rPr>
                <w:highlight w:val="yellow"/>
              </w:rPr>
              <w:t>High</w:t>
            </w:r>
            <w:r>
              <w:t>/Medium/Low</w:t>
            </w:r>
          </w:p>
        </w:tc>
        <w:tc>
          <w:tcPr>
            <w:tcW w:w="7920" w:type="dxa"/>
            <w:vMerge/>
          </w:tcPr>
          <w:p w14:paraId="4C3D9DE6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629" w:type="dxa"/>
            <w:vMerge/>
          </w:tcPr>
          <w:p w14:paraId="72DF5080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57AF408D" w14:textId="77777777" w:rsidTr="00DE58CE">
        <w:trPr>
          <w:trHeight w:val="284"/>
        </w:trPr>
        <w:tc>
          <w:tcPr>
            <w:tcW w:w="3595" w:type="dxa"/>
          </w:tcPr>
          <w:p w14:paraId="7AFB7DC1" w14:textId="77777777" w:rsidR="00865CE3" w:rsidRDefault="00865CE3" w:rsidP="00B023AF">
            <w:pPr>
              <w:spacing w:after="0" w:line="240" w:lineRule="auto"/>
            </w:pPr>
          </w:p>
          <w:p w14:paraId="515A900D" w14:textId="77777777" w:rsidR="00DE58CE" w:rsidRDefault="00865CE3" w:rsidP="00B023AF">
            <w:pPr>
              <w:spacing w:after="0" w:line="240" w:lineRule="auto"/>
            </w:pPr>
            <w:r>
              <w:t xml:space="preserve">Well Being – </w:t>
            </w:r>
          </w:p>
          <w:p w14:paraId="1D144CA0" w14:textId="1A55246F" w:rsidR="00B63B0D" w:rsidRPr="00B023AF" w:rsidRDefault="00865CE3" w:rsidP="00B023AF">
            <w:pPr>
              <w:spacing w:after="0" w:line="240" w:lineRule="auto"/>
            </w:pPr>
            <w:r w:rsidRPr="004F3499">
              <w:rPr>
                <w:highlight w:val="yellow"/>
              </w:rPr>
              <w:t>High</w:t>
            </w:r>
            <w:r>
              <w:t>/Medium/Low</w:t>
            </w:r>
          </w:p>
        </w:tc>
        <w:tc>
          <w:tcPr>
            <w:tcW w:w="7920" w:type="dxa"/>
            <w:vMerge/>
          </w:tcPr>
          <w:p w14:paraId="2ECC652D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629" w:type="dxa"/>
            <w:vMerge/>
          </w:tcPr>
          <w:p w14:paraId="72523B06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B912E5" w:rsidRPr="00B023AF" w14:paraId="1F9507FC" w14:textId="77777777" w:rsidTr="00865CE3">
        <w:tc>
          <w:tcPr>
            <w:tcW w:w="0" w:type="auto"/>
            <w:gridSpan w:val="3"/>
          </w:tcPr>
          <w:p w14:paraId="2D824173" w14:textId="2A5C1ACA" w:rsidR="005F0387" w:rsidRPr="009E391F" w:rsidRDefault="00EB6BCC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9E391F">
              <w:rPr>
                <w:b/>
                <w:bCs/>
              </w:rPr>
              <w:t>We Wonder</w:t>
            </w:r>
            <w:r w:rsidRPr="009E391F">
              <w:rPr>
                <w:b/>
                <w:bCs/>
                <w:sz w:val="20"/>
                <w:szCs w:val="20"/>
              </w:rPr>
              <w:t>:</w:t>
            </w:r>
            <w:r w:rsidR="00660471" w:rsidRPr="00660471">
              <w:rPr>
                <w:sz w:val="20"/>
                <w:szCs w:val="20"/>
              </w:rPr>
              <w:t xml:space="preserve">                   </w:t>
            </w:r>
            <w:r w:rsidR="009E391F">
              <w:rPr>
                <w:sz w:val="20"/>
                <w:szCs w:val="20"/>
              </w:rPr>
              <w:t xml:space="preserve">                       </w:t>
            </w:r>
            <w:r w:rsidR="00660471" w:rsidRPr="00660471">
              <w:rPr>
                <w:color w:val="00B0F0"/>
                <w:sz w:val="20"/>
                <w:szCs w:val="20"/>
              </w:rPr>
              <w:t>Collect more observations on Maeve outdoors. Tune in to her understanding of maths and use of mathematical language</w:t>
            </w:r>
            <w:r w:rsidR="0021659F">
              <w:rPr>
                <w:color w:val="00B0F0"/>
                <w:sz w:val="20"/>
                <w:szCs w:val="20"/>
              </w:rPr>
              <w:t>. Focus on Art processes</w:t>
            </w:r>
          </w:p>
          <w:p w14:paraId="1FB5E168" w14:textId="5C5DDFCF" w:rsidR="00DE58CE" w:rsidRPr="00B023AF" w:rsidRDefault="009E391F" w:rsidP="00B023AF">
            <w:pPr>
              <w:spacing w:after="0" w:line="240" w:lineRule="auto"/>
            </w:pPr>
            <w:r>
              <w:t>Additional Information/Queries</w:t>
            </w:r>
            <w:r w:rsidR="008826AA">
              <w:t>:</w:t>
            </w:r>
          </w:p>
        </w:tc>
      </w:tr>
    </w:tbl>
    <w:p w14:paraId="336000AD" w14:textId="35A16A8F" w:rsidR="0083538A" w:rsidRDefault="0083538A" w:rsidP="00AB01A6">
      <w:pPr>
        <w:tabs>
          <w:tab w:val="left" w:pos="2834"/>
        </w:tabs>
      </w:pPr>
    </w:p>
    <w:sectPr w:rsidR="0083538A" w:rsidSect="00E80789">
      <w:footerReference w:type="default" r:id="rId8"/>
      <w:pgSz w:w="16838" w:h="11906" w:orient="landscape"/>
      <w:pgMar w:top="720" w:right="96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B825" w14:textId="77777777" w:rsidR="00AA1790" w:rsidRDefault="00AA1790" w:rsidP="00D93EF1">
      <w:pPr>
        <w:spacing w:after="0" w:line="240" w:lineRule="auto"/>
      </w:pPr>
      <w:r>
        <w:separator/>
      </w:r>
    </w:p>
  </w:endnote>
  <w:endnote w:type="continuationSeparator" w:id="0">
    <w:p w14:paraId="524055F4" w14:textId="77777777" w:rsidR="00AA1790" w:rsidRDefault="00AA1790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06DC" w14:textId="346BBC6B" w:rsidR="00D93EF1" w:rsidRDefault="00D93EF1">
    <w:pPr>
      <w:pStyle w:val="Footer"/>
    </w:pPr>
    <w:r>
      <w:t>©Clare Devlin – Education Consultancy</w:t>
    </w:r>
  </w:p>
  <w:p w14:paraId="430D0F7F" w14:textId="77777777" w:rsidR="00D93EF1" w:rsidRDefault="00D9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3265" w14:textId="77777777" w:rsidR="00AA1790" w:rsidRDefault="00AA1790" w:rsidP="00D93EF1">
      <w:pPr>
        <w:spacing w:after="0" w:line="240" w:lineRule="auto"/>
      </w:pPr>
      <w:r>
        <w:separator/>
      </w:r>
    </w:p>
  </w:footnote>
  <w:footnote w:type="continuationSeparator" w:id="0">
    <w:p w14:paraId="3B3E4251" w14:textId="77777777" w:rsidR="00AA1790" w:rsidRDefault="00AA1790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61"/>
    <w:multiLevelType w:val="hybridMultilevel"/>
    <w:tmpl w:val="EDDCC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84928"/>
    <w:multiLevelType w:val="hybridMultilevel"/>
    <w:tmpl w:val="ACCEDBF2"/>
    <w:lvl w:ilvl="0" w:tplc="93C6A6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B5872"/>
    <w:multiLevelType w:val="hybridMultilevel"/>
    <w:tmpl w:val="5880B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11B1E"/>
    <w:multiLevelType w:val="hybridMultilevel"/>
    <w:tmpl w:val="61B49A06"/>
    <w:lvl w:ilvl="0" w:tplc="93C6A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26BA"/>
    <w:multiLevelType w:val="hybridMultilevel"/>
    <w:tmpl w:val="E9B8B59E"/>
    <w:lvl w:ilvl="0" w:tplc="93C6A6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340DC"/>
    <w:multiLevelType w:val="hybridMultilevel"/>
    <w:tmpl w:val="099E330A"/>
    <w:lvl w:ilvl="0" w:tplc="93C6A6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1557886462">
    <w:abstractNumId w:val="6"/>
  </w:num>
  <w:num w:numId="2" w16cid:durableId="553397652">
    <w:abstractNumId w:val="2"/>
  </w:num>
  <w:num w:numId="3" w16cid:durableId="2130468424">
    <w:abstractNumId w:val="3"/>
  </w:num>
  <w:num w:numId="4" w16cid:durableId="972948962">
    <w:abstractNumId w:val="5"/>
  </w:num>
  <w:num w:numId="5" w16cid:durableId="182868020">
    <w:abstractNumId w:val="1"/>
  </w:num>
  <w:num w:numId="6" w16cid:durableId="1196386001">
    <w:abstractNumId w:val="4"/>
  </w:num>
  <w:num w:numId="7" w16cid:durableId="29229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F1"/>
    <w:rsid w:val="000B2511"/>
    <w:rsid w:val="0015553B"/>
    <w:rsid w:val="0017393F"/>
    <w:rsid w:val="001D69F4"/>
    <w:rsid w:val="0021659F"/>
    <w:rsid w:val="002428B6"/>
    <w:rsid w:val="00264F62"/>
    <w:rsid w:val="002B4C6D"/>
    <w:rsid w:val="0034717E"/>
    <w:rsid w:val="00375273"/>
    <w:rsid w:val="003C7549"/>
    <w:rsid w:val="00457FAF"/>
    <w:rsid w:val="0047305A"/>
    <w:rsid w:val="00482D60"/>
    <w:rsid w:val="00490E85"/>
    <w:rsid w:val="00494655"/>
    <w:rsid w:val="004D515C"/>
    <w:rsid w:val="004F3499"/>
    <w:rsid w:val="004F47F1"/>
    <w:rsid w:val="00507412"/>
    <w:rsid w:val="00546B6B"/>
    <w:rsid w:val="005775CE"/>
    <w:rsid w:val="00594BB5"/>
    <w:rsid w:val="00597DAC"/>
    <w:rsid w:val="005A633C"/>
    <w:rsid w:val="005E1866"/>
    <w:rsid w:val="005F0387"/>
    <w:rsid w:val="00620AF3"/>
    <w:rsid w:val="00660471"/>
    <w:rsid w:val="00661870"/>
    <w:rsid w:val="00676A3B"/>
    <w:rsid w:val="00695704"/>
    <w:rsid w:val="006A3AEE"/>
    <w:rsid w:val="00793EE4"/>
    <w:rsid w:val="007D52C6"/>
    <w:rsid w:val="007D7162"/>
    <w:rsid w:val="00826DDF"/>
    <w:rsid w:val="0083538A"/>
    <w:rsid w:val="00865CE3"/>
    <w:rsid w:val="008826AA"/>
    <w:rsid w:val="008848A1"/>
    <w:rsid w:val="008D0C61"/>
    <w:rsid w:val="008D48C6"/>
    <w:rsid w:val="00945405"/>
    <w:rsid w:val="0095204C"/>
    <w:rsid w:val="00953FE2"/>
    <w:rsid w:val="009B17A6"/>
    <w:rsid w:val="009B3A5B"/>
    <w:rsid w:val="009B4489"/>
    <w:rsid w:val="009E391F"/>
    <w:rsid w:val="00A67B61"/>
    <w:rsid w:val="00A8206A"/>
    <w:rsid w:val="00A91C46"/>
    <w:rsid w:val="00AA1790"/>
    <w:rsid w:val="00AA4F96"/>
    <w:rsid w:val="00AB01A6"/>
    <w:rsid w:val="00AC34A7"/>
    <w:rsid w:val="00B023AF"/>
    <w:rsid w:val="00B31F14"/>
    <w:rsid w:val="00B42A2F"/>
    <w:rsid w:val="00B63B0D"/>
    <w:rsid w:val="00B912E5"/>
    <w:rsid w:val="00BF430A"/>
    <w:rsid w:val="00C0222C"/>
    <w:rsid w:val="00C21AE3"/>
    <w:rsid w:val="00D00543"/>
    <w:rsid w:val="00D0661A"/>
    <w:rsid w:val="00D149D1"/>
    <w:rsid w:val="00D4500B"/>
    <w:rsid w:val="00D61B55"/>
    <w:rsid w:val="00D70D23"/>
    <w:rsid w:val="00D9359F"/>
    <w:rsid w:val="00D93EF1"/>
    <w:rsid w:val="00DA2DC0"/>
    <w:rsid w:val="00DB6D62"/>
    <w:rsid w:val="00DE58CE"/>
    <w:rsid w:val="00E2539B"/>
    <w:rsid w:val="00E80789"/>
    <w:rsid w:val="00E95D4D"/>
    <w:rsid w:val="00E96EB5"/>
    <w:rsid w:val="00EA153D"/>
    <w:rsid w:val="00EB6BCC"/>
    <w:rsid w:val="00EC20E3"/>
    <w:rsid w:val="00F6500A"/>
    <w:rsid w:val="00F84828"/>
    <w:rsid w:val="00FA2AEF"/>
    <w:rsid w:val="00FA319B"/>
    <w:rsid w:val="00FC5003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93D63"/>
  <w15:docId w15:val="{AA7315D4-49AB-8B46-8C2C-8924725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C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465</Words>
  <Characters>2447</Characters>
  <Application>Microsoft Office Word</Application>
  <DocSecurity>0</DocSecurity>
  <Lines>152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17</cp:revision>
  <cp:lastPrinted>2020-04-30T12:10:00Z</cp:lastPrinted>
  <dcterms:created xsi:type="dcterms:W3CDTF">2021-02-11T12:24:00Z</dcterms:created>
  <dcterms:modified xsi:type="dcterms:W3CDTF">2025-11-28T16:57:00Z</dcterms:modified>
</cp:coreProperties>
</file>